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A56406">
        <w:trPr>
          <w:trHeight w:val="1550"/>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980EFE">
              <w:rPr>
                <w:rFonts w:eastAsia="Calibri" w:cs="Arial"/>
                <w:b/>
                <w:szCs w:val="22"/>
                <w:lang w:eastAsia="en-US"/>
              </w:rPr>
              <w:t>Lerntheke Musikerzeugung</w:t>
            </w:r>
            <w:bookmarkStart w:id="0" w:name="_GoBack"/>
            <w:bookmarkEnd w:id="0"/>
          </w:p>
          <w:p w:rsidR="000375C8" w:rsidRPr="00B14163" w:rsidRDefault="00B14163" w:rsidP="00B14163">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9264" behindDoc="1" locked="0" layoutInCell="1" allowOverlap="1" wp14:anchorId="6BB81AB0" wp14:editId="10E4CC4C">
                  <wp:simplePos x="0" y="0"/>
                  <wp:positionH relativeFrom="column">
                    <wp:posOffset>2311400</wp:posOffset>
                  </wp:positionH>
                  <wp:positionV relativeFrom="paragraph">
                    <wp:posOffset>-525145</wp:posOffset>
                  </wp:positionV>
                  <wp:extent cx="1656715" cy="878205"/>
                  <wp:effectExtent l="0" t="0" r="635" b="0"/>
                  <wp:wrapTight wrapText="bothSides">
                    <wp:wrapPolygon edited="0">
                      <wp:start x="0" y="0"/>
                      <wp:lineTo x="0" y="21085"/>
                      <wp:lineTo x="21360" y="21085"/>
                      <wp:lineTo x="213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878205"/>
                          </a:xfrm>
                          <a:prstGeom prst="rect">
                            <a:avLst/>
                          </a:prstGeom>
                          <a:noFill/>
                        </pic:spPr>
                      </pic:pic>
                    </a:graphicData>
                  </a:graphic>
                  <wp14:sizeRelH relativeFrom="page">
                    <wp14:pctWidth>0</wp14:pctWidth>
                  </wp14:sizeRelH>
                  <wp14:sizeRelV relativeFrom="page">
                    <wp14:pctHeight>0</wp14:pctHeight>
                  </wp14:sizeRelV>
                </wp:anchor>
              </w:drawing>
            </w:r>
            <w:r w:rsidRPr="00154293">
              <w:rPr>
                <w:rFonts w:eastAsia="Calibri" w:cs="Arial"/>
                <w:b/>
                <w:szCs w:val="22"/>
                <w:u w:val="single"/>
                <w:lang w:eastAsia="en-US"/>
              </w:rPr>
              <w:t>Station „Einsaitiges Monochord“</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154293" w:rsidRDefault="00154293" w:rsidP="000375C8">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Ein Monochord besteht aus einem meist rechteckigen Resonanzkörper, über den man der Länge nach eine oder mehrere Saiten spannt. Unterschiedliche Töne erhält man, indem man den beweglichen Steg u</w:t>
            </w:r>
            <w:r w:rsidR="00C15A28">
              <w:rPr>
                <w:rFonts w:eastAsia="Calibri"/>
                <w:color w:val="000000" w:themeColor="text1"/>
                <w:szCs w:val="22"/>
              </w:rPr>
              <w:t xml:space="preserve">nter der Saite verschiebt. Ein </w:t>
            </w:r>
            <w:r w:rsidRPr="00154293">
              <w:rPr>
                <w:rFonts w:eastAsia="Calibri"/>
                <w:color w:val="000000" w:themeColor="text1"/>
                <w:szCs w:val="22"/>
              </w:rPr>
              <w:t>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154293" w:rsidTr="000375C8">
        <w:tc>
          <w:tcPr>
            <w:tcW w:w="9058" w:type="dxa"/>
            <w:gridSpan w:val="3"/>
            <w:shd w:val="clear" w:color="auto" w:fill="auto"/>
          </w:tcPr>
          <w:p w:rsidR="00154293" w:rsidRPr="00154293" w:rsidRDefault="00154293" w:rsidP="00154293">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Arbeitsauftrag:</w:t>
            </w:r>
          </w:p>
          <w:p w:rsidR="00154293" w:rsidRP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a)</w:t>
            </w:r>
            <w:r w:rsidRPr="00154293">
              <w:rPr>
                <w:rFonts w:eastAsia="Calibri"/>
                <w:color w:val="000000" w:themeColor="text1"/>
                <w:szCs w:val="22"/>
              </w:rPr>
              <w:tab/>
              <w:t>Verändere die Tonhöhe der schwingenden Saite indem du den beweglichen Steg unter der Saite hin und her schiebst und alle ander</w:t>
            </w:r>
            <w:r w:rsidR="00AC661A">
              <w:rPr>
                <w:rFonts w:eastAsia="Calibri"/>
                <w:color w:val="000000" w:themeColor="text1"/>
                <w:szCs w:val="22"/>
              </w:rPr>
              <w:t>en Bedingungen konstant hältst.</w:t>
            </w:r>
            <w:r w:rsidR="00AC661A">
              <w:rPr>
                <w:rStyle w:val="Funotenzeichen"/>
                <w:rFonts w:eastAsia="Calibri"/>
                <w:color w:val="000000" w:themeColor="text1"/>
                <w:szCs w:val="22"/>
              </w:rPr>
              <w:footnoteReference w:id="1"/>
            </w:r>
          </w:p>
          <w:p w:rsidR="00154293" w:rsidRP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b)</w:t>
            </w:r>
            <w:r w:rsidRPr="00154293">
              <w:rPr>
                <w:rFonts w:eastAsia="Calibri"/>
                <w:color w:val="000000" w:themeColor="text1"/>
                <w:szCs w:val="22"/>
              </w:rPr>
              <w:tab/>
              <w:t>Dokumentiere dein Versuchsergebnis bzgl. deiner akustischen Wahrnehmung in Je-desto-Sätzen.</w:t>
            </w:r>
          </w:p>
          <w:p w:rsid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c)</w:t>
            </w:r>
            <w:r w:rsidRPr="00154293">
              <w:rPr>
                <w:rFonts w:eastAsia="Calibri"/>
                <w:color w:val="000000" w:themeColor="text1"/>
                <w:szCs w:val="22"/>
              </w:rPr>
              <w:tab/>
              <w:t>Finde die Positionen heraus, an die du den Steg schieben musst, um die vom Lehrer bereits aufgenommenen Töne zu erhalten. Ergänze mit den gewonnenen Daten die ersten drei Spalten der folgenden Tabelle!</w:t>
            </w:r>
          </w:p>
          <w:tbl>
            <w:tblPr>
              <w:tblStyle w:val="NormaleTabe1"/>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43"/>
              <w:gridCol w:w="1843"/>
              <w:gridCol w:w="1923"/>
              <w:gridCol w:w="1925"/>
            </w:tblGrid>
            <w:tr w:rsidR="00154293" w:rsidRPr="00154293" w:rsidTr="00AC661A">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Ton</w:t>
                  </w:r>
                </w:p>
              </w:tc>
              <w:tc>
                <w:tcPr>
                  <w:tcW w:w="184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Abstand zur linken Einspannung</w:t>
                  </w:r>
                </w:p>
              </w:tc>
              <w:tc>
                <w:tcPr>
                  <w:tcW w:w="184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Abstand zur rechten Einspannung</w:t>
                  </w:r>
                </w:p>
              </w:tc>
              <w:tc>
                <w:tcPr>
                  <w:tcW w:w="192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Relative Saitenlänge (angeregter Teil/ Gesamtlänge)</w:t>
                  </w:r>
                </w:p>
              </w:tc>
              <w:tc>
                <w:tcPr>
                  <w:tcW w:w="1925"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Intervallname bezogen auf den Grundton</w:t>
                  </w: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1.Ton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w:t>
                  </w: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1:1</w:t>
                  </w: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Prime</w:t>
                  </w: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2.Ton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3.Ton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4.Ton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bl>
          <w:p w:rsidR="00AC661A" w:rsidRPr="00AC661A"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d)</w:t>
            </w:r>
            <w:r w:rsidRPr="00AC661A">
              <w:rPr>
                <w:rFonts w:eastAsia="Calibri"/>
                <w:color w:val="000000" w:themeColor="text1"/>
                <w:szCs w:val="22"/>
              </w:rPr>
              <w:tab/>
              <w:t>Zeichne in dein Heft eine 10cm lange Linie, die die Saite des Monochords darstellt. Übertrage die Stegpositionen bezogen auf deine 10cm lange Linie (Saite).</w:t>
            </w:r>
          </w:p>
          <w:p w:rsidR="00AC661A" w:rsidRPr="00AC661A"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e)</w:t>
            </w:r>
            <w:r w:rsidRPr="00AC661A">
              <w:rPr>
                <w:rFonts w:eastAsia="Calibri"/>
                <w:color w:val="000000" w:themeColor="text1"/>
                <w:szCs w:val="22"/>
              </w:rPr>
              <w:tab/>
              <w:t>Recherchiere wie das entsprechende Intervall aus c) bezogen auf den Grundton in der Musik genannt wird und ergänze diese in der letzten Spalte.</w:t>
            </w:r>
          </w:p>
          <w:p w:rsidR="00154293" w:rsidRPr="00154293"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f)</w:t>
            </w:r>
            <w:r w:rsidRPr="00AC661A">
              <w:rPr>
                <w:rFonts w:eastAsia="Calibri"/>
                <w:color w:val="000000" w:themeColor="text1"/>
                <w:szCs w:val="22"/>
              </w:rPr>
              <w:tab/>
              <w:t>Zusatzaufgabe: Entnehme andere wichtige Intervalle aus deiner Recherche, versuche diese nachzuspielen und ergänze die Tabelle und die Linie um die entsprechenden Daten.</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B3" w:rsidRDefault="00F659B3" w:rsidP="00AC661A">
      <w:pPr>
        <w:spacing w:after="0" w:line="240" w:lineRule="auto"/>
      </w:pPr>
      <w:r>
        <w:separator/>
      </w:r>
    </w:p>
  </w:endnote>
  <w:endnote w:type="continuationSeparator" w:id="0">
    <w:p w:rsidR="00F659B3" w:rsidRDefault="00F659B3"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D" w:rsidRPr="00980EFE" w:rsidRDefault="00980EFE">
    <w:pPr>
      <w:pStyle w:val="Fuzeile"/>
      <w:rPr>
        <w:lang w:val="en-US"/>
      </w:rPr>
    </w:pPr>
    <w:r w:rsidRPr="00980EFE">
      <w:rPr>
        <w:lang w:val="en-US"/>
      </w:rPr>
      <w:t>HR_Ph_TF1_Laerm_S2_AB3</w:t>
    </w:r>
    <w:r w:rsidR="0073397D" w:rsidRPr="00980EFE">
      <w:rPr>
        <w:lang w:val="en-US"/>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B3" w:rsidRDefault="00F659B3" w:rsidP="00AC661A">
      <w:pPr>
        <w:spacing w:after="0" w:line="240" w:lineRule="auto"/>
      </w:pPr>
      <w:r>
        <w:separator/>
      </w:r>
    </w:p>
  </w:footnote>
  <w:footnote w:type="continuationSeparator" w:id="0">
    <w:p w:rsidR="00F659B3" w:rsidRDefault="00F659B3" w:rsidP="00AC661A">
      <w:pPr>
        <w:spacing w:after="0" w:line="240" w:lineRule="auto"/>
      </w:pPr>
      <w:r>
        <w:continuationSeparator/>
      </w:r>
    </w:p>
  </w:footnote>
  <w:footnote w:id="1">
    <w:p w:rsidR="00AC661A" w:rsidRDefault="00AC661A">
      <w:pPr>
        <w:pStyle w:val="Funotentext"/>
      </w:pPr>
      <w:r>
        <w:rPr>
          <w:rStyle w:val="Funotenzeichen"/>
        </w:rPr>
        <w:footnoteRef/>
      </w:r>
      <w:r>
        <w:t xml:space="preserve"> </w:t>
      </w:r>
      <w:r w:rsidRPr="00AC661A">
        <w:t>Das heißt, dass du die Spannung der Saite und deren Masse konstant lässt.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3C51BC"/>
    <w:rsid w:val="00575365"/>
    <w:rsid w:val="006E1918"/>
    <w:rsid w:val="0073397D"/>
    <w:rsid w:val="007644C1"/>
    <w:rsid w:val="0082307A"/>
    <w:rsid w:val="008A13E0"/>
    <w:rsid w:val="008E704A"/>
    <w:rsid w:val="00980EFE"/>
    <w:rsid w:val="00996B6F"/>
    <w:rsid w:val="009A35FA"/>
    <w:rsid w:val="009D1434"/>
    <w:rsid w:val="00A56406"/>
    <w:rsid w:val="00AC661A"/>
    <w:rsid w:val="00B14163"/>
    <w:rsid w:val="00C15A28"/>
    <w:rsid w:val="00D43A33"/>
    <w:rsid w:val="00E820EE"/>
    <w:rsid w:val="00EB49DE"/>
    <w:rsid w:val="00F65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33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97D"/>
    <w:rPr>
      <w:rFonts w:ascii="Arial" w:eastAsia="Times New Roman" w:hAnsi="Arial" w:cs="Times New Roman"/>
      <w:szCs w:val="24"/>
      <w:lang w:eastAsia="de-DE"/>
    </w:rPr>
  </w:style>
  <w:style w:type="paragraph" w:styleId="Fuzeile">
    <w:name w:val="footer"/>
    <w:basedOn w:val="Standard"/>
    <w:link w:val="FuzeileZchn"/>
    <w:uiPriority w:val="99"/>
    <w:unhideWhenUsed/>
    <w:rsid w:val="00733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97D"/>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33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97D"/>
    <w:rPr>
      <w:rFonts w:ascii="Arial" w:eastAsia="Times New Roman" w:hAnsi="Arial" w:cs="Times New Roman"/>
      <w:szCs w:val="24"/>
      <w:lang w:eastAsia="de-DE"/>
    </w:rPr>
  </w:style>
  <w:style w:type="paragraph" w:styleId="Fuzeile">
    <w:name w:val="footer"/>
    <w:basedOn w:val="Standard"/>
    <w:link w:val="FuzeileZchn"/>
    <w:uiPriority w:val="99"/>
    <w:unhideWhenUsed/>
    <w:rsid w:val="00733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97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809E-B36A-422A-A66E-1E6D9451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2014-02-11T09:41:00Z</cp:lastPrinted>
  <dcterms:created xsi:type="dcterms:W3CDTF">2014-02-11T09:41:00Z</dcterms:created>
  <dcterms:modified xsi:type="dcterms:W3CDTF">2014-02-11T09:42:00Z</dcterms:modified>
</cp:coreProperties>
</file>