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90D58" w:rsidRPr="00493E31" w:rsidTr="00555DEF">
        <w:tc>
          <w:tcPr>
            <w:tcW w:w="9180" w:type="dxa"/>
            <w:shd w:val="clear" w:color="auto" w:fill="auto"/>
            <w:vAlign w:val="center"/>
          </w:tcPr>
          <w:p w:rsidR="00790D58" w:rsidRPr="00493E31" w:rsidRDefault="00987D17" w:rsidP="00794B15">
            <w:pPr>
              <w:spacing w:after="0" w:line="240" w:lineRule="auto"/>
              <w:rPr>
                <w:b/>
                <w:sz w:val="28"/>
                <w:szCs w:val="28"/>
              </w:rPr>
            </w:pPr>
            <w:r w:rsidRPr="00987D17">
              <w:rPr>
                <w:rFonts w:cs="Calibri"/>
                <w:b/>
                <w:color w:val="000000"/>
                <w:sz w:val="28"/>
                <w:szCs w:val="28"/>
              </w:rPr>
              <w:t>E</w:t>
            </w:r>
            <w:r w:rsidR="00794B15" w:rsidRPr="00987D17">
              <w:rPr>
                <w:rFonts w:cs="Calibri"/>
                <w:b/>
                <w:color w:val="000000"/>
                <w:sz w:val="28"/>
                <w:szCs w:val="28"/>
              </w:rPr>
              <w:t>rhitzte Kugel durch Ring</w:t>
            </w:r>
          </w:p>
        </w:tc>
      </w:tr>
    </w:tbl>
    <w:p w:rsidR="00D8025D" w:rsidRDefault="00D8025D" w:rsidP="00F7335A">
      <w:pPr>
        <w:spacing w:after="0" w:line="240" w:lineRule="auto"/>
      </w:pPr>
      <w:r>
        <w:tab/>
      </w:r>
      <w:r>
        <w:tab/>
      </w:r>
      <w:r>
        <w:tab/>
      </w:r>
    </w:p>
    <w:p w:rsidR="00F7335A" w:rsidRDefault="00C504A9" w:rsidP="00F7335A">
      <w:pPr>
        <w:spacing w:after="0" w:line="240" w:lineRule="auto"/>
      </w:pPr>
      <w:sdt>
        <w:sdtPr>
          <w:id w:val="-1015619464"/>
          <w14:checkbox>
            <w14:checked w14:val="1"/>
            <w14:checkedState w14:val="2612" w14:font="MS Gothic"/>
            <w14:uncheckedState w14:val="2610" w14:font="MS Gothic"/>
          </w14:checkbox>
        </w:sdtPr>
        <w:sdtEndPr/>
        <w:sdtContent>
          <w:r w:rsidR="00BA3FD1">
            <w:rPr>
              <w:rFonts w:ascii="MS Gothic" w:eastAsia="MS Gothic" w:hAnsi="MS Gothic" w:hint="eastAsia"/>
            </w:rPr>
            <w:t>☒</w:t>
          </w:r>
        </w:sdtContent>
      </w:sdt>
      <w:r w:rsidR="002E3531">
        <w:t xml:space="preserve"> </w:t>
      </w:r>
      <w:r w:rsidR="003F3096">
        <w:t>Lehrerversuch</w:t>
      </w:r>
      <w:r w:rsidR="00F7335A">
        <w:tab/>
      </w:r>
      <w:r w:rsidR="00586E83">
        <w:rPr>
          <w:rFonts w:ascii="MS Gothic" w:eastAsia="MS Gothic" w:hAnsi="MS Gothic" w:hint="eastAsia"/>
        </w:rPr>
        <w:t>☐</w:t>
      </w:r>
      <w:r w:rsidR="003F3096" w:rsidRPr="000873A7">
        <w:t xml:space="preserve"> Lehrerversuch</w:t>
      </w:r>
      <w:r w:rsidR="00F7335A" w:rsidRPr="000873A7">
        <w:t xml:space="preserve"> mit Schülerbeteiligung</w:t>
      </w:r>
      <w:r w:rsidR="00F7335A">
        <w:t xml:space="preserve"> </w:t>
      </w:r>
      <w:r w:rsidR="00F7335A">
        <w:tab/>
      </w:r>
      <w:r w:rsidR="00D432C3">
        <w:rPr>
          <w:rFonts w:ascii="MS Gothic" w:eastAsia="MS Gothic" w:hAnsi="MS Gothic" w:hint="eastAsia"/>
        </w:rPr>
        <w:t xml:space="preserve">☐ </w:t>
      </w:r>
      <w:r w:rsidR="003F3096">
        <w:t>Schülerversuch</w:t>
      </w:r>
    </w:p>
    <w:p w:rsidR="002E3531" w:rsidRDefault="002E3531" w:rsidP="002E3531">
      <w:pPr>
        <w:spacing w:after="0" w:line="240" w:lineRule="auto"/>
        <w:rPr>
          <w:b/>
        </w:rPr>
      </w:pPr>
    </w:p>
    <w:p w:rsidR="002E3531" w:rsidRDefault="002E3531" w:rsidP="002E3531">
      <w:pPr>
        <w:spacing w:after="0" w:line="240" w:lineRule="auto"/>
        <w:rPr>
          <w:b/>
        </w:rPr>
      </w:pPr>
      <w:r w:rsidRPr="0028643B">
        <w:rPr>
          <w:b/>
        </w:rPr>
        <w:t>A</w:t>
      </w:r>
      <w:r>
        <w:rPr>
          <w:b/>
        </w:rPr>
        <w:t>ussagekräftige Beschreibung (z. </w:t>
      </w:r>
      <w:r w:rsidRPr="0028643B">
        <w:rPr>
          <w:b/>
        </w:rPr>
        <w:t>B. Text, Bild, Skizze) des Versuchs:</w:t>
      </w:r>
    </w:p>
    <w:p w:rsidR="002E3531" w:rsidRDefault="002E3531" w:rsidP="002E3531">
      <w:pPr>
        <w:spacing w:after="0" w:line="240" w:lineRule="auto"/>
        <w:rPr>
          <w:b/>
        </w:rPr>
      </w:pPr>
    </w:p>
    <w:tbl>
      <w:tblPr>
        <w:tblStyle w:val="Tabellenraster"/>
        <w:tblW w:w="0" w:type="auto"/>
        <w:tblLook w:val="04A0" w:firstRow="1" w:lastRow="0" w:firstColumn="1" w:lastColumn="0" w:noHBand="0" w:noVBand="1"/>
      </w:tblPr>
      <w:tblGrid>
        <w:gridCol w:w="4078"/>
        <w:gridCol w:w="4982"/>
      </w:tblGrid>
      <w:tr w:rsidR="008668F0" w:rsidTr="001B2802">
        <w:tc>
          <w:tcPr>
            <w:tcW w:w="4078" w:type="dxa"/>
            <w:shd w:val="clear" w:color="auto" w:fill="auto"/>
          </w:tcPr>
          <w:p w:rsidR="008668F0" w:rsidRDefault="00D83D47" w:rsidP="004E0A1D">
            <w:pPr>
              <w:spacing w:after="0" w:line="240" w:lineRule="auto"/>
            </w:pPr>
            <w:r>
              <w:rPr>
                <w:noProof/>
              </w:rPr>
              <mc:AlternateContent>
                <mc:Choice Requires="wps">
                  <w:drawing>
                    <wp:anchor distT="4294967295" distB="4294967295" distL="114299" distR="114299" simplePos="0" relativeHeight="251674624" behindDoc="0" locked="0" layoutInCell="1" allowOverlap="1">
                      <wp:simplePos x="0" y="0"/>
                      <wp:positionH relativeFrom="column">
                        <wp:posOffset>5906134</wp:posOffset>
                      </wp:positionH>
                      <wp:positionV relativeFrom="paragraph">
                        <wp:posOffset>2667634</wp:posOffset>
                      </wp:positionV>
                      <wp:extent cx="0"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2B1722" id="Gerader Verbinder 10"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5.05pt,210.05pt" to="465.0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PBugEAANoDAAAOAAAAZHJzL2Uyb0RvYy54bWysU02P0zAQvSPxH6zcadI9IBQ13cOu2MsK&#10;Kha4T51xY+EvjU2T/nvGThNgQUIgLlbseW9m3pvJ7nayRpyRovauq7abphLopO+1O3XVp49vX72p&#10;REzgejDeYVddMFa3+5cvdmNo8cYP3vRIgpO42I6hq4aUQlvXUQ5oIW58QMdB5clC4iud6p5g5OzW&#10;1DdN87oePfWBvMQY+fV+Dlb7kl8plOm9UhGTMF3FvaVyUjmP+az3O2hPBGHQ8toG/EMXFrTjomuq&#10;e0ggvpL+JZXVknz0Km2kt7VXSkssGljNtnmm5mmAgEULmxPDalP8f2nlu/OBhO55dmyPA8szekCC&#10;PJXPSEft8hfH2KgxxJbxd+5AWaqc3FN49PJL5Fj9UzBfYphhkyKb4axVTMX4y2o8TknI+VEurzW0&#10;CyVQTA/orcgfXWW0y25AC+fHmHJRaBfItYO5aCmfLgYz2LgPqFghl9kWdtktvDMkzsBbAVKiS9ss&#10;kPMVdKYpbcxKbP5MvOIzFcve/Q15ZZTK3qWVbLXz9LvqaVpaVjN+cWDWnS04+v5yoGU4vEBF4XXZ&#10;84b+eC/077/k/hsAAAD//wMAUEsDBBQABgAIAAAAIQAeNPp13wAAAAsBAAAPAAAAZHJzL2Rvd25y&#10;ZXYueG1sTI/RSsNAEEXfBf9hGcEXsZvWVmrMpqhQ+mCltPEDttkxCWZnQ3aTpv16p1TQt5l7L3fO&#10;JIvB1qLH1leOFIxHEQik3JmKCgWf2fJ+DsIHTUbXjlDBET0s0uurRMfGHWiL/S4UgkvIx1pBGUIT&#10;S+nzEq32I9cgsfflWqsDr20hTasPXG5rOYmiR2l1RXyh1A2+lZh/7zqrYLV8xffZsSumZrbK7vps&#10;/XHazJW6vRlenkEEHMJfGM74jA4pM+1dR8aLWsHTQzTmqILp5Dxw4qLsfxWZJvL/D+kPAAAA//8D&#10;AFBLAQItABQABgAIAAAAIQC2gziS/gAAAOEBAAATAAAAAAAAAAAAAAAAAAAAAABbQ29udGVudF9U&#10;eXBlc10ueG1sUEsBAi0AFAAGAAgAAAAhADj9If/WAAAAlAEAAAsAAAAAAAAAAAAAAAAALwEAAF9y&#10;ZWxzLy5yZWxzUEsBAi0AFAAGAAgAAAAhAABaI8G6AQAA2gMAAA4AAAAAAAAAAAAAAAAALgIAAGRy&#10;cy9lMm9Eb2MueG1sUEsBAi0AFAAGAAgAAAAhAB40+nXfAAAACwEAAA8AAAAAAAAAAAAAAAAAFAQA&#10;AGRycy9kb3ducmV2LnhtbFBLBQYAAAAABAAEAPMAAAAgBQAAAAA=&#10;" strokecolor="#4579b8 [3044]">
                      <o:lock v:ext="edit" shapetype="f"/>
                    </v:line>
                  </w:pict>
                </mc:Fallback>
              </mc:AlternateContent>
            </w:r>
            <w:r w:rsidR="008668F0">
              <w:rPr>
                <w:b/>
              </w:rPr>
              <w:t>Material:</w:t>
            </w:r>
          </w:p>
        </w:tc>
        <w:tc>
          <w:tcPr>
            <w:tcW w:w="4982" w:type="dxa"/>
            <w:shd w:val="clear" w:color="auto" w:fill="auto"/>
          </w:tcPr>
          <w:p w:rsidR="008668F0" w:rsidRDefault="0009163E" w:rsidP="004E0A1D">
            <w:pPr>
              <w:spacing w:after="0" w:line="240" w:lineRule="auto"/>
            </w:pPr>
            <w:r>
              <w:rPr>
                <w:b/>
              </w:rPr>
              <w:t>Aufbau</w:t>
            </w:r>
            <w:r w:rsidR="008668F0" w:rsidRPr="00044DC4">
              <w:rPr>
                <w:b/>
              </w:rPr>
              <w:t>:</w:t>
            </w:r>
          </w:p>
        </w:tc>
      </w:tr>
      <w:tr w:rsidR="008668F0" w:rsidTr="002E3531">
        <w:tc>
          <w:tcPr>
            <w:tcW w:w="4078" w:type="dxa"/>
          </w:tcPr>
          <w:p w:rsidR="001401A0" w:rsidRDefault="001401A0" w:rsidP="001401A0">
            <w:pPr>
              <w:pStyle w:val="Listenabsatz"/>
              <w:spacing w:after="0" w:line="240" w:lineRule="auto"/>
            </w:pPr>
          </w:p>
          <w:p w:rsidR="008668F0" w:rsidRDefault="00794B15" w:rsidP="00F3067F">
            <w:pPr>
              <w:pStyle w:val="Listenabsatz"/>
              <w:numPr>
                <w:ilvl w:val="0"/>
                <w:numId w:val="2"/>
              </w:numPr>
              <w:spacing w:after="0" w:line="240" w:lineRule="auto"/>
            </w:pPr>
            <w:r>
              <w:t>Kugel aus Metall an Kette</w:t>
            </w:r>
          </w:p>
          <w:p w:rsidR="00794B15" w:rsidRPr="00F3067F" w:rsidRDefault="00794B15" w:rsidP="00F3067F">
            <w:pPr>
              <w:pStyle w:val="Listenabsatz"/>
              <w:numPr>
                <w:ilvl w:val="0"/>
                <w:numId w:val="2"/>
              </w:numPr>
              <w:spacing w:after="0" w:line="240" w:lineRule="auto"/>
            </w:pPr>
            <w:r>
              <w:t>dazu passende Metalllochschablone</w:t>
            </w:r>
          </w:p>
          <w:p w:rsidR="00D432C3" w:rsidRDefault="00794B15" w:rsidP="00D432C3">
            <w:pPr>
              <w:pStyle w:val="Listenabsatz"/>
              <w:numPr>
                <w:ilvl w:val="0"/>
                <w:numId w:val="2"/>
              </w:numPr>
              <w:spacing w:after="0" w:line="240" w:lineRule="auto"/>
            </w:pPr>
            <w:r>
              <w:t>Kartuschenbrenner</w:t>
            </w:r>
          </w:p>
          <w:p w:rsidR="00794B15" w:rsidRDefault="00794B15" w:rsidP="00D432C3">
            <w:pPr>
              <w:pStyle w:val="Listenabsatz"/>
              <w:numPr>
                <w:ilvl w:val="0"/>
                <w:numId w:val="2"/>
              </w:numPr>
              <w:spacing w:after="0" w:line="240" w:lineRule="auto"/>
            </w:pPr>
            <w:r>
              <w:t>Tiegelzange</w:t>
            </w:r>
          </w:p>
          <w:p w:rsidR="00794B15" w:rsidRDefault="00794B15" w:rsidP="00D432C3">
            <w:pPr>
              <w:pStyle w:val="Listenabsatz"/>
              <w:numPr>
                <w:ilvl w:val="0"/>
                <w:numId w:val="2"/>
              </w:numPr>
              <w:spacing w:after="0" w:line="240" w:lineRule="auto"/>
            </w:pPr>
            <w:r>
              <w:t>Schutzbrille</w:t>
            </w:r>
          </w:p>
          <w:p w:rsidR="00D432C3" w:rsidRDefault="00D432C3" w:rsidP="00794B15">
            <w:pPr>
              <w:pStyle w:val="Listenabsatz"/>
              <w:spacing w:after="0" w:line="240" w:lineRule="auto"/>
            </w:pPr>
          </w:p>
        </w:tc>
        <w:tc>
          <w:tcPr>
            <w:tcW w:w="4982" w:type="dxa"/>
            <w:vAlign w:val="center"/>
          </w:tcPr>
          <w:p w:rsidR="008668F0" w:rsidRDefault="0009163E" w:rsidP="0029783D">
            <w:pPr>
              <w:spacing w:after="0" w:line="240" w:lineRule="auto"/>
              <w:jc w:val="center"/>
            </w:pPr>
            <w:r>
              <w:rPr>
                <w:noProof/>
              </w:rPr>
              <w:drawing>
                <wp:inline distT="0" distB="0" distL="0" distR="0">
                  <wp:extent cx="2358999" cy="2098467"/>
                  <wp:effectExtent l="19050" t="19050" r="22860" b="165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824_131422.jpg"/>
                          <pic:cNvPicPr/>
                        </pic:nvPicPr>
                        <pic:blipFill rotWithShape="1">
                          <a:blip r:embed="rId7" cstate="print">
                            <a:extLst>
                              <a:ext uri="{28A0092B-C50C-407E-A947-70E740481C1C}">
                                <a14:useLocalDpi xmlns:a14="http://schemas.microsoft.com/office/drawing/2010/main" val="0"/>
                              </a:ext>
                            </a:extLst>
                          </a:blip>
                          <a:srcRect l="31456" t="5100" r="17518" b="14207"/>
                          <a:stretch/>
                        </pic:blipFill>
                        <pic:spPr bwMode="auto">
                          <a:xfrm>
                            <a:off x="0" y="0"/>
                            <a:ext cx="2376970" cy="211445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bl>
    <w:p w:rsidR="00F7335A" w:rsidRDefault="00F7335A" w:rsidP="00F7335A">
      <w:pPr>
        <w:spacing w:after="0" w:line="240" w:lineRule="auto"/>
      </w:pPr>
    </w:p>
    <w:p w:rsidR="00F7335A" w:rsidRDefault="00F7335A" w:rsidP="002E3531">
      <w:pPr>
        <w:spacing w:after="120" w:line="240" w:lineRule="auto"/>
        <w:rPr>
          <w:b/>
        </w:rPr>
      </w:pPr>
      <w:r w:rsidRPr="00F7335A">
        <w:rPr>
          <w:b/>
        </w:rPr>
        <w:t>Gefährdungsarten:</w:t>
      </w:r>
    </w:p>
    <w:p w:rsidR="002E3531" w:rsidRPr="00F7335A" w:rsidRDefault="002E3531" w:rsidP="002E3531">
      <w:pPr>
        <w:spacing w:after="0" w:line="240" w:lineRule="auto"/>
      </w:pPr>
      <w:r w:rsidRPr="00291B28">
        <w:rPr>
          <w:rFonts w:ascii="MS Gothic" w:eastAsia="MS Gothic" w:hAnsi="MS Gothic" w:hint="eastAsia"/>
        </w:rPr>
        <w:t>☐</w:t>
      </w:r>
      <w:r w:rsidRPr="00291B28">
        <w:t xml:space="preserve"> </w:t>
      </w:r>
      <w:r>
        <w:t>mechanisch</w:t>
      </w:r>
      <w:r>
        <w:tab/>
        <w:t xml:space="preserve">  </w:t>
      </w:r>
      <w:r>
        <w:tab/>
      </w:r>
      <w:r>
        <w:tab/>
      </w:r>
      <w:r w:rsidRPr="00291B28">
        <w:rPr>
          <w:rFonts w:ascii="MS Gothic" w:eastAsia="MS Gothic" w:hAnsi="MS Gothic" w:hint="eastAsia"/>
        </w:rPr>
        <w:t>☐</w:t>
      </w:r>
      <w:r w:rsidRPr="00291B28">
        <w:t xml:space="preserve"> </w:t>
      </w:r>
      <w:r>
        <w:t xml:space="preserve">elektrisch </w:t>
      </w:r>
      <w:r>
        <w:tab/>
      </w:r>
      <w:sdt>
        <w:sdtPr>
          <w:id w:val="-316266455"/>
          <w14:checkbox>
            <w14:checked w14:val="1"/>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 xml:space="preserve"> thermisch</w:t>
      </w:r>
      <w:r>
        <w:tab/>
      </w:r>
      <w:r>
        <w:tab/>
      </w:r>
      <w:r>
        <w:rPr>
          <w:rFonts w:ascii="MS Gothic" w:eastAsia="MS Gothic" w:hAnsi="MS Gothic" w:hint="eastAsia"/>
        </w:rPr>
        <w:t>☐</w:t>
      </w:r>
      <w:r>
        <w:t xml:space="preserve"> IR-, optische Strahlung</w:t>
      </w:r>
    </w:p>
    <w:p w:rsidR="002E3531" w:rsidRDefault="002E3531" w:rsidP="002E3531">
      <w:pPr>
        <w:spacing w:after="0" w:line="240" w:lineRule="auto"/>
        <w:rPr>
          <w:b/>
        </w:rPr>
      </w:pPr>
      <w:r w:rsidRPr="00291B28">
        <w:rPr>
          <w:rFonts w:ascii="MS Gothic" w:eastAsia="MS Gothic" w:hAnsi="MS Gothic" w:hint="eastAsia"/>
        </w:rPr>
        <w:t>☐</w:t>
      </w:r>
      <w:r w:rsidRPr="00291B28">
        <w:t xml:space="preserve"> ionisierende Strahlung</w:t>
      </w:r>
      <w:r w:rsidRPr="00291B28">
        <w:tab/>
      </w:r>
      <w:r w:rsidRPr="00291B28">
        <w:rPr>
          <w:rFonts w:ascii="MS Gothic" w:eastAsia="MS Gothic" w:hAnsi="MS Gothic" w:hint="eastAsia"/>
        </w:rPr>
        <w:t>☐</w:t>
      </w:r>
      <w:r w:rsidRPr="00291B28">
        <w:t xml:space="preserve"> Lärm</w:t>
      </w:r>
      <w:r w:rsidRPr="00291B28">
        <w:tab/>
      </w:r>
      <w:sdt>
        <w:sdtPr>
          <w:id w:val="-189958853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291B28">
        <w:t xml:space="preserve"> Gefahrstoffe</w:t>
      </w:r>
      <w:r w:rsidRPr="00291B28">
        <w:tab/>
      </w:r>
      <w:r w:rsidRPr="00291B28">
        <w:tab/>
      </w:r>
      <w:r w:rsidRPr="00291B28">
        <w:rPr>
          <w:rFonts w:ascii="MS Gothic" w:eastAsia="MS Gothic" w:hAnsi="MS Gothic" w:hint="eastAsia"/>
        </w:rPr>
        <w:t>☐</w:t>
      </w:r>
      <w:r w:rsidRPr="00291B28">
        <w:t xml:space="preserve"> Sonstiges</w:t>
      </w:r>
    </w:p>
    <w:p w:rsidR="001C7BD2" w:rsidRDefault="001C7BD2" w:rsidP="001C7BD2">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24"/>
      </w:tblGrid>
      <w:tr w:rsidR="00175E30" w:rsidRPr="00493E31" w:rsidTr="001B2802">
        <w:tc>
          <w:tcPr>
            <w:tcW w:w="3256" w:type="dxa"/>
            <w:shd w:val="clear" w:color="auto" w:fill="auto"/>
          </w:tcPr>
          <w:p w:rsidR="00175E30" w:rsidRPr="00493E31" w:rsidRDefault="00175E30" w:rsidP="00F965B7">
            <w:pPr>
              <w:spacing w:after="0" w:line="240" w:lineRule="auto"/>
              <w:rPr>
                <w:b/>
              </w:rPr>
            </w:pPr>
            <w:r w:rsidRPr="00493E31">
              <w:rPr>
                <w:b/>
              </w:rPr>
              <w:t>konkrete Gefährdungen</w:t>
            </w:r>
          </w:p>
        </w:tc>
        <w:tc>
          <w:tcPr>
            <w:tcW w:w="5924" w:type="dxa"/>
            <w:shd w:val="clear" w:color="auto" w:fill="auto"/>
          </w:tcPr>
          <w:p w:rsidR="00175E30" w:rsidRPr="00493E31" w:rsidRDefault="00175E30" w:rsidP="00F965B7">
            <w:pPr>
              <w:spacing w:after="0" w:line="240" w:lineRule="auto"/>
              <w:rPr>
                <w:b/>
              </w:rPr>
            </w:pPr>
            <w:r w:rsidRPr="00493E31">
              <w:rPr>
                <w:b/>
              </w:rPr>
              <w:t xml:space="preserve">Schutzmaßnahmen (z. B. gerätebezogen, baulich, </w:t>
            </w:r>
            <w:r w:rsidRPr="00493E31">
              <w:rPr>
                <w:b/>
              </w:rPr>
              <w:br/>
              <w:t xml:space="preserve">bei </w:t>
            </w:r>
            <w:r>
              <w:rPr>
                <w:b/>
              </w:rPr>
              <w:t>der Durchführung des Versuchs</w:t>
            </w:r>
            <w:r w:rsidRPr="00493E31">
              <w:rPr>
                <w:b/>
              </w:rPr>
              <w:t xml:space="preserve">) </w:t>
            </w:r>
          </w:p>
        </w:tc>
      </w:tr>
      <w:tr w:rsidR="00175E30" w:rsidRPr="00493E31" w:rsidTr="002A0439">
        <w:tc>
          <w:tcPr>
            <w:tcW w:w="3256" w:type="dxa"/>
            <w:shd w:val="clear" w:color="auto" w:fill="auto"/>
          </w:tcPr>
          <w:p w:rsidR="00175E30" w:rsidRDefault="00175E30" w:rsidP="00F965B7">
            <w:pPr>
              <w:spacing w:after="0" w:line="240" w:lineRule="auto"/>
            </w:pPr>
            <w:r>
              <w:t>Gasaustritt bei Kartuschenbrenner</w:t>
            </w:r>
          </w:p>
          <w:p w:rsidR="00175E30" w:rsidRDefault="00987D17" w:rsidP="00F965B7">
            <w:pPr>
              <w:spacing w:after="0" w:line="240" w:lineRule="auto"/>
            </w:pPr>
            <w:r w:rsidRPr="00CE78E7">
              <w:rPr>
                <w:noProof/>
              </w:rPr>
              <w:drawing>
                <wp:anchor distT="0" distB="0" distL="114300" distR="114300" simplePos="0" relativeHeight="251676672" behindDoc="0" locked="0" layoutInCell="1" allowOverlap="1">
                  <wp:simplePos x="0" y="0"/>
                  <wp:positionH relativeFrom="column">
                    <wp:posOffset>69850</wp:posOffset>
                  </wp:positionH>
                  <wp:positionV relativeFrom="paragraph">
                    <wp:posOffset>333375</wp:posOffset>
                  </wp:positionV>
                  <wp:extent cx="561975" cy="561975"/>
                  <wp:effectExtent l="0" t="0" r="9525" b="9525"/>
                  <wp:wrapSquare wrapText="bothSides"/>
                  <wp:docPr id="48" name="Grafik 34" descr="D:\Gefährdungsbeurteilungen\Gefahrensymbole\GFS\gf-entzünd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D:\Gefährdungsbeurteilungen\Gefahrensymbole\GFS\gf-entzündli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p w:rsidR="00175E30" w:rsidRPr="00493E31" w:rsidRDefault="00175E30" w:rsidP="00F965B7">
            <w:pPr>
              <w:spacing w:after="0" w:line="240" w:lineRule="auto"/>
            </w:pPr>
          </w:p>
        </w:tc>
        <w:tc>
          <w:tcPr>
            <w:tcW w:w="5924" w:type="dxa"/>
            <w:shd w:val="clear" w:color="auto" w:fill="auto"/>
          </w:tcPr>
          <w:p w:rsidR="00175E30" w:rsidRDefault="002A0439" w:rsidP="00C739A0">
            <w:pPr>
              <w:pStyle w:val="Listenabsatz"/>
              <w:numPr>
                <w:ilvl w:val="0"/>
                <w:numId w:val="3"/>
              </w:numPr>
              <w:spacing w:after="0" w:line="240" w:lineRule="auto"/>
              <w:ind w:left="227" w:hanging="227"/>
            </w:pPr>
            <w:proofErr w:type="spellStart"/>
            <w:r>
              <w:t>SuS</w:t>
            </w:r>
            <w:proofErr w:type="spellEnd"/>
            <w:r w:rsidR="00175E30">
              <w:t xml:space="preserve"> dürfen im Unterricht nur mit maximal 8 Kartuschenbrennern in Einwegbehältern (Ventilkartuschen) arbeiten, bei denen ein Entnahmeventil eingesetzt ist.</w:t>
            </w:r>
          </w:p>
          <w:p w:rsidR="00175E30" w:rsidRPr="003C6FD0" w:rsidRDefault="00175E30" w:rsidP="00C739A0">
            <w:pPr>
              <w:pStyle w:val="Listenabsatz"/>
              <w:numPr>
                <w:ilvl w:val="0"/>
                <w:numId w:val="3"/>
              </w:numPr>
              <w:spacing w:after="0" w:line="240" w:lineRule="auto"/>
              <w:ind w:left="227" w:hanging="227"/>
            </w:pPr>
            <w:r w:rsidRPr="003C6FD0">
              <w:rPr>
                <w:rFonts w:asciiTheme="minorHAnsi" w:hAnsiTheme="minorHAnsi" w:cstheme="minorHAnsi"/>
              </w:rPr>
              <w:t>Auslaufen von Flüssiggas durch angem</w:t>
            </w:r>
            <w:r>
              <w:rPr>
                <w:rFonts w:asciiTheme="minorHAnsi" w:hAnsiTheme="minorHAnsi" w:cstheme="minorHAnsi"/>
              </w:rPr>
              <w:t>essene Gebrauchslage vermeiden.</w:t>
            </w:r>
          </w:p>
          <w:p w:rsidR="00175E30" w:rsidRPr="005A1A74" w:rsidRDefault="00175E30" w:rsidP="00C739A0">
            <w:pPr>
              <w:pStyle w:val="Listenabsatz"/>
              <w:numPr>
                <w:ilvl w:val="0"/>
                <w:numId w:val="3"/>
              </w:numPr>
              <w:spacing w:after="0" w:line="240" w:lineRule="auto"/>
              <w:ind w:left="227" w:hanging="227"/>
            </w:pPr>
            <w:r w:rsidRPr="005A1A74">
              <w:t>Kartuschenbrenner nie kippen oder schütteln!</w:t>
            </w:r>
          </w:p>
          <w:p w:rsidR="00175E30" w:rsidRPr="00E66783" w:rsidRDefault="00175E30" w:rsidP="00C739A0">
            <w:pPr>
              <w:pStyle w:val="Listenabsatz"/>
              <w:numPr>
                <w:ilvl w:val="0"/>
                <w:numId w:val="3"/>
              </w:numPr>
              <w:spacing w:after="0" w:line="240" w:lineRule="auto"/>
              <w:ind w:left="227" w:hanging="227"/>
            </w:pPr>
            <w:r w:rsidRPr="00E66783">
              <w:rPr>
                <w:rFonts w:asciiTheme="minorHAnsi" w:hAnsiTheme="minorHAnsi" w:cstheme="minorHAnsi"/>
              </w:rPr>
              <w:t>Unzulässige Erwärmung der Druckgaskartuschen vermeiden!</w:t>
            </w:r>
          </w:p>
          <w:p w:rsidR="00175E30" w:rsidRDefault="00175E30" w:rsidP="00C739A0">
            <w:pPr>
              <w:pStyle w:val="Listenabsatz"/>
              <w:numPr>
                <w:ilvl w:val="0"/>
                <w:numId w:val="3"/>
              </w:numPr>
              <w:spacing w:after="0" w:line="240" w:lineRule="auto"/>
              <w:ind w:left="227" w:hanging="227"/>
            </w:pPr>
            <w:r>
              <w:t>Nach Benutzung die Luftzufuhr am Kartuschenbrenner und anschließend die Gaszufuhr schließen!</w:t>
            </w:r>
          </w:p>
          <w:p w:rsidR="00175E30" w:rsidRDefault="00175E30" w:rsidP="00C739A0">
            <w:pPr>
              <w:pStyle w:val="Listenabsatz"/>
              <w:numPr>
                <w:ilvl w:val="0"/>
                <w:numId w:val="3"/>
              </w:numPr>
              <w:spacing w:after="0" w:line="240" w:lineRule="auto"/>
              <w:ind w:left="227" w:hanging="227"/>
            </w:pPr>
            <w:r>
              <w:t>Kartuschenbrenner müssen nach jeder Benutzung auf geschlossene Ventile und äußerlich erkennbare Mängel geprüft werden.</w:t>
            </w:r>
          </w:p>
          <w:p w:rsidR="00175E30" w:rsidRDefault="00175E30" w:rsidP="00C739A0">
            <w:pPr>
              <w:pStyle w:val="Listenabsatz"/>
              <w:numPr>
                <w:ilvl w:val="0"/>
                <w:numId w:val="3"/>
              </w:numPr>
              <w:spacing w:after="0" w:line="240" w:lineRule="auto"/>
              <w:ind w:left="227" w:hanging="227"/>
            </w:pPr>
            <w:r>
              <w:t>Raum grundsätzlich lüften!</w:t>
            </w:r>
          </w:p>
          <w:p w:rsidR="002625C2" w:rsidRPr="00493E31" w:rsidRDefault="002625C2" w:rsidP="00C739A0">
            <w:pPr>
              <w:pStyle w:val="Listenabsatz"/>
              <w:numPr>
                <w:ilvl w:val="0"/>
                <w:numId w:val="3"/>
              </w:numPr>
              <w:spacing w:after="0" w:line="240" w:lineRule="auto"/>
              <w:ind w:left="227" w:hanging="227"/>
            </w:pPr>
            <w:r>
              <w:t>H- und P-Sätze beachten (siehe ergänzende Hinweise)!</w:t>
            </w:r>
          </w:p>
        </w:tc>
      </w:tr>
      <w:tr w:rsidR="00175E30" w:rsidRPr="00493E31" w:rsidTr="002A0439">
        <w:tc>
          <w:tcPr>
            <w:tcW w:w="3256" w:type="dxa"/>
            <w:shd w:val="clear" w:color="auto" w:fill="auto"/>
          </w:tcPr>
          <w:p w:rsidR="00175E30" w:rsidRDefault="00175E30" w:rsidP="00F965B7">
            <w:pPr>
              <w:spacing w:after="0" w:line="240" w:lineRule="auto"/>
            </w:pPr>
            <w:r>
              <w:t>Verbrennung</w:t>
            </w:r>
          </w:p>
        </w:tc>
        <w:tc>
          <w:tcPr>
            <w:tcW w:w="5924" w:type="dxa"/>
            <w:shd w:val="clear" w:color="auto" w:fill="auto"/>
          </w:tcPr>
          <w:p w:rsidR="00175E30" w:rsidRDefault="00175E30" w:rsidP="00C739A0">
            <w:pPr>
              <w:pStyle w:val="Listenabsatz"/>
              <w:numPr>
                <w:ilvl w:val="0"/>
                <w:numId w:val="3"/>
              </w:numPr>
              <w:spacing w:after="0" w:line="240" w:lineRule="auto"/>
              <w:ind w:left="227" w:hanging="227"/>
            </w:pPr>
            <w:r>
              <w:t>Lange Haare zusammenbinden und Kopf nicht über Brenner halten!</w:t>
            </w:r>
          </w:p>
          <w:p w:rsidR="00175E30" w:rsidRDefault="00175E30" w:rsidP="00C739A0">
            <w:pPr>
              <w:pStyle w:val="Listenabsatz"/>
              <w:numPr>
                <w:ilvl w:val="0"/>
                <w:numId w:val="3"/>
              </w:numPr>
              <w:spacing w:after="0" w:line="240" w:lineRule="auto"/>
              <w:ind w:left="227" w:hanging="227"/>
            </w:pPr>
            <w:r>
              <w:t>Brennbare Gegenstände von der Arbeitsfläche entfernen!</w:t>
            </w:r>
          </w:p>
          <w:p w:rsidR="00175E30" w:rsidRPr="00111E0E" w:rsidRDefault="00B03AFC" w:rsidP="00C739A0">
            <w:pPr>
              <w:pStyle w:val="Listenabsatz"/>
              <w:numPr>
                <w:ilvl w:val="0"/>
                <w:numId w:val="3"/>
              </w:numPr>
              <w:spacing w:after="0" w:line="240" w:lineRule="auto"/>
              <w:ind w:left="227" w:hanging="227"/>
            </w:pPr>
            <w:r w:rsidRPr="00CE78E7">
              <w:rPr>
                <w:rFonts w:ascii="Arial" w:hAnsi="Arial" w:cs="Arial"/>
                <w:noProof/>
                <w:color w:val="000000"/>
              </w:rPr>
              <w:drawing>
                <wp:anchor distT="0" distB="0" distL="114300" distR="114300" simplePos="0" relativeHeight="251677696" behindDoc="0" locked="0" layoutInCell="1" allowOverlap="1">
                  <wp:simplePos x="0" y="0"/>
                  <wp:positionH relativeFrom="column">
                    <wp:posOffset>3068502</wp:posOffset>
                  </wp:positionH>
                  <wp:positionV relativeFrom="paragraph">
                    <wp:posOffset>4952</wp:posOffset>
                  </wp:positionV>
                  <wp:extent cx="474980" cy="474980"/>
                  <wp:effectExtent l="0" t="0" r="127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anchor>
              </w:drawing>
            </w:r>
            <w:r w:rsidR="00175E30">
              <w:t>VORSICHT: Nicht immer ist die Flamme sichtbar. Schutzbrille tragen!</w:t>
            </w:r>
            <w:r w:rsidR="00175E30" w:rsidRPr="00CE78E7">
              <w:rPr>
                <w:rFonts w:ascii="Arial" w:hAnsi="Arial" w:cs="Arial"/>
                <w:noProof/>
                <w:color w:val="000000"/>
              </w:rPr>
              <w:t xml:space="preserve"> </w:t>
            </w:r>
          </w:p>
          <w:p w:rsidR="00175E30" w:rsidRDefault="00175E30" w:rsidP="00C739A0">
            <w:pPr>
              <w:pStyle w:val="Listenabsatz"/>
              <w:spacing w:after="0" w:line="240" w:lineRule="auto"/>
              <w:ind w:left="227" w:hanging="227"/>
            </w:pPr>
          </w:p>
        </w:tc>
      </w:tr>
    </w:tbl>
    <w:p w:rsidR="002E3531" w:rsidRDefault="002E3531" w:rsidP="002E3531">
      <w:pPr>
        <w:spacing w:after="0" w:line="240" w:lineRule="auto"/>
      </w:pPr>
    </w:p>
    <w:p w:rsidR="00175E30" w:rsidRPr="00B03AFC" w:rsidRDefault="00C504A9" w:rsidP="001C7BD2">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2E3531">
            <w:rPr>
              <w:rFonts w:ascii="MS Gothic" w:eastAsia="MS Gothic" w:hAnsi="MS Gothic" w:hint="eastAsia"/>
              <w:szCs w:val="20"/>
            </w:rPr>
            <w:t>☐</w:t>
          </w:r>
        </w:sdtContent>
      </w:sdt>
      <w:r w:rsidR="002E3531">
        <w:rPr>
          <w:szCs w:val="20"/>
        </w:rPr>
        <w:t xml:space="preserve"> Unterrichtliche Rahmenbedingungen (</w:t>
      </w:r>
      <w:r w:rsidR="00BA3FD1">
        <w:rPr>
          <w:szCs w:val="20"/>
        </w:rPr>
        <w:t>Lerngruppe</w:t>
      </w:r>
      <w:bookmarkStart w:id="0" w:name="_GoBack"/>
      <w:bookmarkEnd w:id="0"/>
      <w:r w:rsidR="002E3531">
        <w:rPr>
          <w:szCs w:val="20"/>
        </w:rPr>
        <w:t>, Unterrichtsraum,…) wurden berücksichtigt.</w:t>
      </w:r>
    </w:p>
    <w:p w:rsidR="00987D17" w:rsidRDefault="00987D17" w:rsidP="002E3531">
      <w:pPr>
        <w:spacing w:after="120" w:line="240" w:lineRule="auto"/>
        <w:rPr>
          <w:b/>
        </w:rPr>
      </w:pPr>
      <w:r>
        <w:br w:type="page"/>
      </w:r>
      <w:r>
        <w:rPr>
          <w:b/>
        </w:rPr>
        <w:lastRenderedPageBreak/>
        <w:t>Ergänzende Hinweise</w:t>
      </w:r>
      <w:r w:rsidRPr="00775BEE">
        <w:rPr>
          <w:b/>
        </w:rPr>
        <w:t>:</w:t>
      </w:r>
    </w:p>
    <w:p w:rsidR="00987D17" w:rsidRDefault="00987D17" w:rsidP="002E3531">
      <w:pPr>
        <w:spacing w:after="0" w:line="240" w:lineRule="auto"/>
      </w:pPr>
      <w:r w:rsidRPr="002E3531">
        <w:t xml:space="preserve">Ortsfeste Gasanlagen sind </w:t>
      </w:r>
      <w:proofErr w:type="spellStart"/>
      <w:r w:rsidRPr="002E3531">
        <w:t>Kartuschenbrennern</w:t>
      </w:r>
      <w:proofErr w:type="spellEnd"/>
      <w:r w:rsidRPr="002E3531">
        <w:t xml:space="preserve"> vorzuziehen. Ka</w:t>
      </w:r>
      <w:r>
        <w:t xml:space="preserve">rtuschenbrenner mit einem Rauminhalt der Druckgaskartusche von nicht mehr als einem Liter dürfen in Räumen unter Erdgleiche benutzt werden, wenn sie nach Gebrauch in Räumen über Erdgleiche aufbewahrt werden. </w:t>
      </w:r>
      <w:proofErr w:type="spellStart"/>
      <w:r>
        <w:t>S</w:t>
      </w:r>
      <w:r w:rsidR="002A0439">
        <w:t>uS</w:t>
      </w:r>
      <w:proofErr w:type="spellEnd"/>
      <w:r w:rsidR="002A0439">
        <w:t xml:space="preserve"> </w:t>
      </w:r>
      <w:r>
        <w:t xml:space="preserve">dürfen im Unterricht nur mit </w:t>
      </w:r>
      <w:r w:rsidRPr="002E3531">
        <w:rPr>
          <w:u w:val="single"/>
        </w:rPr>
        <w:t>maximal acht</w:t>
      </w:r>
      <w:r>
        <w:t xml:space="preserve"> Kartuschenbrennern in Einwegbehältern (Ventilkartuschen) arbeiten, bei denen ein Entnahmeventil eingesetzt ist. Einwegbehälter, die angestochen werden müssen und bei denen nach Entfernen des Entnahmeventils ungehindert Gas ausströmen kann, dürfen ihnen nicht ausgehändigt werden. </w:t>
      </w:r>
      <w:r w:rsidRPr="005E44AD">
        <w:t>Das Auswechseln der Druckgaskartuschen dürfen nur Lehrkräfte oder technische Assistent</w:t>
      </w:r>
      <w:r>
        <w:t>/i</w:t>
      </w:r>
      <w:r w:rsidRPr="005E44AD">
        <w:t>nnen durchführen.</w:t>
      </w:r>
      <w:r>
        <w:t xml:space="preserve"> </w:t>
      </w:r>
      <w:r w:rsidRPr="005E44AD">
        <w:t>Es dürfen nur Kartuschenbrenner betrieben werden, bei denen ein unbeabsichtigtes Lösen der Druckgaskartuschen verhindert ist.</w:t>
      </w:r>
    </w:p>
    <w:p w:rsidR="00987D17" w:rsidRDefault="00987D17" w:rsidP="002E3531">
      <w:pPr>
        <w:spacing w:after="0" w:line="240" w:lineRule="auto"/>
      </w:pPr>
      <w:r w:rsidRPr="000349E0">
        <w:t>(vgl. RiSU I-5.4)</w:t>
      </w:r>
    </w:p>
    <w:p w:rsidR="00987D17" w:rsidRPr="002E3531" w:rsidRDefault="00987D17" w:rsidP="00987D17">
      <w:pPr>
        <w:pStyle w:val="Listenabsatz"/>
        <w:spacing w:after="0" w:line="240" w:lineRule="auto"/>
        <w:rPr>
          <w:rFonts w:asciiTheme="minorHAnsi" w:hAnsiTheme="minorHAnsi" w:cstheme="minorHAnsi"/>
          <w:noProof/>
          <w:color w:val="000000"/>
          <w:sz w:val="12"/>
          <w:szCs w:val="20"/>
        </w:rPr>
      </w:pPr>
    </w:p>
    <w:p w:rsidR="00987D17" w:rsidRPr="000705A6" w:rsidRDefault="00987D17" w:rsidP="00987D17">
      <w:pPr>
        <w:spacing w:after="0" w:line="240" w:lineRule="auto"/>
        <w:rPr>
          <w:rFonts w:asciiTheme="minorHAnsi" w:hAnsiTheme="minorHAnsi" w:cstheme="minorHAnsi"/>
          <w:noProof/>
          <w:color w:val="000000"/>
        </w:rPr>
      </w:pPr>
      <w:r w:rsidRPr="000705A6">
        <w:rPr>
          <w:rFonts w:asciiTheme="minorHAnsi" w:hAnsiTheme="minorHAnsi" w:cstheme="minorHAnsi"/>
          <w:noProof/>
          <w:color w:val="000000"/>
        </w:rPr>
        <w:t>Beim Arbeiten mit der leuchtenden F</w:t>
      </w:r>
      <w:r>
        <w:rPr>
          <w:rFonts w:asciiTheme="minorHAnsi" w:hAnsiTheme="minorHAnsi" w:cstheme="minorHAnsi"/>
          <w:noProof/>
          <w:color w:val="000000"/>
        </w:rPr>
        <w:t>lamme verrußt die Metallkugel</w:t>
      </w:r>
      <w:r w:rsidRPr="000705A6">
        <w:rPr>
          <w:rFonts w:asciiTheme="minorHAnsi" w:hAnsiTheme="minorHAnsi" w:cstheme="minorHAnsi"/>
          <w:noProof/>
          <w:color w:val="000000"/>
        </w:rPr>
        <w:t>, dagegen ist beim Arbeiten mit der rauschenden Flamme diese nicht sichtbar und wesentlich heißer.</w:t>
      </w:r>
    </w:p>
    <w:p w:rsidR="00987D17" w:rsidRPr="002E3531" w:rsidRDefault="00987D17" w:rsidP="00987D17">
      <w:pPr>
        <w:pStyle w:val="Listenabsatz"/>
        <w:spacing w:after="0" w:line="240" w:lineRule="auto"/>
        <w:rPr>
          <w:rFonts w:asciiTheme="minorHAnsi" w:hAnsiTheme="minorHAnsi" w:cstheme="minorHAnsi"/>
          <w:noProof/>
          <w:color w:val="000000"/>
          <w:sz w:val="12"/>
          <w:szCs w:val="20"/>
        </w:rPr>
      </w:pPr>
    </w:p>
    <w:p w:rsidR="00987D17" w:rsidRPr="00EA7BBF" w:rsidRDefault="00987D17" w:rsidP="00987D17">
      <w:pPr>
        <w:spacing w:after="0" w:line="240" w:lineRule="auto"/>
        <w:rPr>
          <w:rFonts w:asciiTheme="minorHAnsi" w:hAnsiTheme="minorHAnsi" w:cstheme="minorHAnsi"/>
          <w:noProof/>
          <w:color w:val="000000"/>
          <w:u w:val="single"/>
        </w:rPr>
      </w:pPr>
      <w:r w:rsidRPr="00EA7BBF">
        <w:rPr>
          <w:u w:val="single"/>
        </w:rPr>
        <w:t>Hin</w:t>
      </w:r>
      <w:r w:rsidRPr="00EA7BBF">
        <w:rPr>
          <w:rFonts w:asciiTheme="minorHAnsi" w:hAnsiTheme="minorHAnsi" w:cstheme="minorHAnsi"/>
          <w:noProof/>
          <w:color w:val="000000"/>
          <w:u w:val="single"/>
        </w:rPr>
        <w:t>weis zur Entsorgung:</w:t>
      </w:r>
    </w:p>
    <w:p w:rsidR="00987D17" w:rsidRPr="00EA7BBF" w:rsidRDefault="00987D17" w:rsidP="00987D17">
      <w:pPr>
        <w:spacing w:after="0" w:line="240" w:lineRule="auto"/>
        <w:rPr>
          <w:rFonts w:asciiTheme="minorHAnsi" w:hAnsiTheme="minorHAnsi" w:cstheme="minorHAnsi"/>
          <w:noProof/>
          <w:color w:val="000000"/>
        </w:rPr>
      </w:pPr>
      <w:r w:rsidRPr="00EA7BBF">
        <w:rPr>
          <w:rFonts w:asciiTheme="minorHAnsi" w:hAnsiTheme="minorHAnsi" w:cstheme="minorHAnsi"/>
          <w:noProof/>
          <w:color w:val="000000"/>
        </w:rPr>
        <w:t>Reste vorsichtig im Abzug verbrennen! Leere Dose kann im Wertstoffmüll entsorgt werden.</w:t>
      </w:r>
    </w:p>
    <w:p w:rsidR="00987D17" w:rsidRPr="002E3531" w:rsidRDefault="00987D17" w:rsidP="00987D17">
      <w:pPr>
        <w:pStyle w:val="Listenabsatz"/>
        <w:spacing w:after="0" w:line="240" w:lineRule="auto"/>
        <w:rPr>
          <w:rFonts w:asciiTheme="minorHAnsi" w:hAnsiTheme="minorHAnsi" w:cstheme="minorHAnsi"/>
          <w:noProof/>
          <w:color w:val="000000"/>
          <w:sz w:val="12"/>
          <w:szCs w:val="20"/>
        </w:rPr>
      </w:pPr>
    </w:p>
    <w:p w:rsidR="003D7EC6" w:rsidRPr="000705A6" w:rsidRDefault="003D7EC6" w:rsidP="003D7EC6">
      <w:pPr>
        <w:spacing w:after="0" w:line="240" w:lineRule="auto"/>
        <w:rPr>
          <w:u w:val="single"/>
        </w:rPr>
      </w:pPr>
      <w:r>
        <w:rPr>
          <w:u w:val="single"/>
        </w:rPr>
        <w:t>Hinweise zu Gefahr</w:t>
      </w:r>
      <w:r w:rsidRPr="000705A6">
        <w:rPr>
          <w:u w:val="single"/>
        </w:rPr>
        <w:t>stoffen:</w:t>
      </w:r>
    </w:p>
    <w:p w:rsidR="00987D17" w:rsidRPr="000705A6" w:rsidRDefault="00987D17" w:rsidP="00987D17">
      <w:pPr>
        <w:spacing w:after="0" w:line="240" w:lineRule="auto"/>
        <w:rPr>
          <w:b/>
          <w:sz w:val="20"/>
          <w:szCs w:val="20"/>
        </w:rPr>
      </w:pPr>
    </w:p>
    <w:tbl>
      <w:tblPr>
        <w:tblStyle w:val="Tabellenraster"/>
        <w:tblW w:w="0" w:type="auto"/>
        <w:tblLook w:val="04A0" w:firstRow="1" w:lastRow="0" w:firstColumn="1" w:lastColumn="0" w:noHBand="0" w:noVBand="1"/>
      </w:tblPr>
      <w:tblGrid>
        <w:gridCol w:w="671"/>
        <w:gridCol w:w="8389"/>
      </w:tblGrid>
      <w:tr w:rsidR="00987D17" w:rsidTr="00624014">
        <w:tc>
          <w:tcPr>
            <w:tcW w:w="675" w:type="dxa"/>
            <w:vMerge w:val="restart"/>
            <w:textDirection w:val="btLr"/>
            <w:vAlign w:val="center"/>
          </w:tcPr>
          <w:p w:rsidR="00987D17" w:rsidRPr="000705A6" w:rsidRDefault="00987D17" w:rsidP="00624014">
            <w:pPr>
              <w:spacing w:after="0" w:line="240" w:lineRule="auto"/>
              <w:ind w:left="113" w:right="113"/>
              <w:jc w:val="center"/>
              <w:rPr>
                <w:b/>
              </w:rPr>
            </w:pPr>
            <w:r w:rsidRPr="000705A6">
              <w:rPr>
                <w:b/>
              </w:rPr>
              <w:t>Propan</w:t>
            </w:r>
          </w:p>
        </w:tc>
        <w:tc>
          <w:tcPr>
            <w:tcW w:w="8535" w:type="dxa"/>
          </w:tcPr>
          <w:p w:rsidR="00987D17" w:rsidRPr="00420C42" w:rsidRDefault="00987D17" w:rsidP="00624014">
            <w:pPr>
              <w:spacing w:after="0" w:line="240" w:lineRule="auto"/>
            </w:pPr>
            <w:r w:rsidRPr="00420C42">
              <w:t>Gefahrenhinweise (H-Sätze)</w:t>
            </w:r>
          </w:p>
          <w:p w:rsidR="00987D17" w:rsidRPr="00420C42" w:rsidRDefault="00987D17" w:rsidP="00624014">
            <w:pPr>
              <w:spacing w:after="0" w:line="240" w:lineRule="auto"/>
            </w:pPr>
            <w:r w:rsidRPr="00420C42">
              <w:t xml:space="preserve">H220: Extrem entzündbares Gas. </w:t>
            </w:r>
          </w:p>
          <w:p w:rsidR="00987D17" w:rsidRDefault="00987D17" w:rsidP="00624014">
            <w:pPr>
              <w:spacing w:after="0" w:line="240" w:lineRule="auto"/>
            </w:pPr>
            <w:r w:rsidRPr="00420C42">
              <w:t>H280: Enthält Gas unter Druck; kann bei Erwärmung explodieren</w:t>
            </w:r>
            <w:r>
              <w:t>.</w:t>
            </w:r>
          </w:p>
        </w:tc>
      </w:tr>
      <w:tr w:rsidR="00987D17" w:rsidTr="00624014">
        <w:tc>
          <w:tcPr>
            <w:tcW w:w="675" w:type="dxa"/>
            <w:vMerge/>
          </w:tcPr>
          <w:p w:rsidR="00987D17" w:rsidRPr="000705A6" w:rsidRDefault="00987D17" w:rsidP="00624014">
            <w:pPr>
              <w:spacing w:after="0" w:line="240" w:lineRule="auto"/>
            </w:pPr>
          </w:p>
        </w:tc>
        <w:tc>
          <w:tcPr>
            <w:tcW w:w="8535" w:type="dxa"/>
          </w:tcPr>
          <w:p w:rsidR="00987D17" w:rsidRPr="00420C42" w:rsidRDefault="00987D17" w:rsidP="00624014">
            <w:pPr>
              <w:spacing w:after="0" w:line="240" w:lineRule="auto"/>
            </w:pPr>
            <w:r w:rsidRPr="00420C42">
              <w:t>Sicherheitshinweise (P-Sätze)</w:t>
            </w:r>
          </w:p>
          <w:p w:rsidR="00987D17" w:rsidRPr="00420C42" w:rsidRDefault="00987D17" w:rsidP="00624014">
            <w:pPr>
              <w:spacing w:after="0" w:line="240" w:lineRule="auto"/>
            </w:pPr>
            <w:r w:rsidRPr="00420C42">
              <w:t xml:space="preserve">P201: Vor Gebrauch besondere Anweisungen einholen. </w:t>
            </w:r>
          </w:p>
          <w:p w:rsidR="00987D17" w:rsidRPr="00420C42" w:rsidRDefault="00987D17" w:rsidP="00624014">
            <w:pPr>
              <w:spacing w:after="0" w:line="240" w:lineRule="auto"/>
            </w:pPr>
            <w:r w:rsidRPr="00420C42">
              <w:t>P210: Von Hitze/Funken/offener Flamme/heißen Oberflächen fernhalten. Nicht rauchen.</w:t>
            </w:r>
          </w:p>
          <w:p w:rsidR="00987D17" w:rsidRPr="00420C42" w:rsidRDefault="00987D17" w:rsidP="00624014">
            <w:pPr>
              <w:spacing w:after="0" w:line="240" w:lineRule="auto"/>
            </w:pPr>
            <w:r w:rsidRPr="00420C42">
              <w:t>P281: Vorgeschriebene persönliche Schutzausrüstung verwenden.</w:t>
            </w:r>
          </w:p>
          <w:p w:rsidR="00987D17" w:rsidRPr="00420C42" w:rsidRDefault="00987D17" w:rsidP="00624014">
            <w:pPr>
              <w:spacing w:after="0" w:line="240" w:lineRule="auto"/>
            </w:pPr>
            <w:r w:rsidRPr="00420C42">
              <w:t>P308 + P313: Bei Exposition oder Verdacht: Ärztlichen Rat einholen/ärztliche Hilfe hinzuziehen.</w:t>
            </w:r>
          </w:p>
          <w:p w:rsidR="00987D17" w:rsidRPr="00420C42" w:rsidRDefault="00987D17" w:rsidP="00624014">
            <w:pPr>
              <w:spacing w:after="0" w:line="240" w:lineRule="auto"/>
            </w:pPr>
            <w:r w:rsidRPr="00420C42">
              <w:t>P377: Brand bei Gasleckage: Nicht löschen, bis Leckage gefahrlos gestoppt werden kann.</w:t>
            </w:r>
          </w:p>
          <w:p w:rsidR="00987D17" w:rsidRPr="00420C42" w:rsidRDefault="00987D17" w:rsidP="00624014">
            <w:pPr>
              <w:spacing w:after="0" w:line="240" w:lineRule="auto"/>
            </w:pPr>
            <w:r w:rsidRPr="00420C42">
              <w:t>P381: Alle Zündquellen entfernen, wenn gefahrlos möglich.</w:t>
            </w:r>
          </w:p>
          <w:p w:rsidR="00987D17" w:rsidRDefault="00987D17" w:rsidP="00624014">
            <w:pPr>
              <w:spacing w:after="0" w:line="240" w:lineRule="auto"/>
            </w:pPr>
            <w:r w:rsidRPr="00420C42">
              <w:t>P403 + P410: Vor Sonnenbestrahlung schützen. An einem gut belüfteten Ort aufbewahren</w:t>
            </w:r>
          </w:p>
        </w:tc>
      </w:tr>
      <w:tr w:rsidR="00987D17" w:rsidTr="00624014">
        <w:tc>
          <w:tcPr>
            <w:tcW w:w="675" w:type="dxa"/>
            <w:vMerge w:val="restart"/>
            <w:textDirection w:val="btLr"/>
            <w:vAlign w:val="center"/>
          </w:tcPr>
          <w:p w:rsidR="00987D17" w:rsidRPr="000705A6" w:rsidRDefault="00987D17" w:rsidP="00624014">
            <w:pPr>
              <w:spacing w:after="0" w:line="240" w:lineRule="auto"/>
              <w:ind w:left="113" w:right="113"/>
              <w:jc w:val="center"/>
              <w:rPr>
                <w:b/>
              </w:rPr>
            </w:pPr>
            <w:r w:rsidRPr="000705A6">
              <w:rPr>
                <w:b/>
              </w:rPr>
              <w:t>Butan</w:t>
            </w:r>
          </w:p>
        </w:tc>
        <w:tc>
          <w:tcPr>
            <w:tcW w:w="8535" w:type="dxa"/>
          </w:tcPr>
          <w:p w:rsidR="00987D17" w:rsidRPr="00420C42" w:rsidRDefault="00987D17" w:rsidP="00624014">
            <w:pPr>
              <w:spacing w:after="0" w:line="240" w:lineRule="auto"/>
            </w:pPr>
            <w:r w:rsidRPr="00420C42">
              <w:t>Gefahrenhinweise (H-Sätze)</w:t>
            </w:r>
          </w:p>
          <w:p w:rsidR="00987D17" w:rsidRPr="00420C42" w:rsidRDefault="00987D17" w:rsidP="00624014">
            <w:pPr>
              <w:spacing w:after="0" w:line="240" w:lineRule="auto"/>
            </w:pPr>
            <w:r w:rsidRPr="00420C42">
              <w:t xml:space="preserve">H220: Extrem entzündbares Gas. </w:t>
            </w:r>
          </w:p>
          <w:p w:rsidR="00987D17" w:rsidRDefault="00987D17" w:rsidP="00624014">
            <w:pPr>
              <w:spacing w:after="0" w:line="240" w:lineRule="auto"/>
            </w:pPr>
            <w:r w:rsidRPr="00420C42">
              <w:t>H280: Enthält Gas unter Druck; kann bei Erwärmung explodieren</w:t>
            </w:r>
          </w:p>
        </w:tc>
      </w:tr>
      <w:tr w:rsidR="00987D17" w:rsidTr="00624014">
        <w:tc>
          <w:tcPr>
            <w:tcW w:w="675" w:type="dxa"/>
            <w:vMerge/>
          </w:tcPr>
          <w:p w:rsidR="00987D17" w:rsidRDefault="00987D17" w:rsidP="00624014">
            <w:pPr>
              <w:spacing w:after="0" w:line="240" w:lineRule="auto"/>
            </w:pPr>
          </w:p>
        </w:tc>
        <w:tc>
          <w:tcPr>
            <w:tcW w:w="8535" w:type="dxa"/>
          </w:tcPr>
          <w:p w:rsidR="00987D17" w:rsidRPr="00420C42" w:rsidRDefault="00987D17" w:rsidP="00624014">
            <w:pPr>
              <w:spacing w:after="0" w:line="240" w:lineRule="auto"/>
            </w:pPr>
            <w:r w:rsidRPr="00420C42">
              <w:t>Sicherheitshinweise (P-Sätze)</w:t>
            </w:r>
          </w:p>
          <w:p w:rsidR="00987D17" w:rsidRPr="00420C42" w:rsidRDefault="00987D17" w:rsidP="00624014">
            <w:pPr>
              <w:spacing w:after="0" w:line="240" w:lineRule="auto"/>
            </w:pPr>
            <w:r w:rsidRPr="00420C42">
              <w:t>P210: Von Hitze/Funken/offener Flamme/heißen Oberflächen fernhalten. Nicht rauchen.</w:t>
            </w:r>
          </w:p>
          <w:p w:rsidR="00987D17" w:rsidRPr="00420C42" w:rsidRDefault="00987D17" w:rsidP="00624014">
            <w:pPr>
              <w:spacing w:after="0" w:line="240" w:lineRule="auto"/>
            </w:pPr>
            <w:r w:rsidRPr="00420C42">
              <w:t>P308 + P313: Bei Exposition oder Verdacht: Ärztlichen Rat einholen/ärztliche Hilfe hinzuziehen.</w:t>
            </w:r>
          </w:p>
          <w:p w:rsidR="00987D17" w:rsidRPr="00420C42" w:rsidRDefault="00987D17" w:rsidP="00624014">
            <w:pPr>
              <w:spacing w:after="0" w:line="240" w:lineRule="auto"/>
            </w:pPr>
            <w:r w:rsidRPr="00420C42">
              <w:t>P377: Brand bei Gasleckage: Nicht löschen, bis Leckage gefahrlos gestoppt werden kann.</w:t>
            </w:r>
          </w:p>
          <w:p w:rsidR="00987D17" w:rsidRPr="00420C42" w:rsidRDefault="00987D17" w:rsidP="00624014">
            <w:pPr>
              <w:spacing w:after="0" w:line="240" w:lineRule="auto"/>
            </w:pPr>
            <w:r w:rsidRPr="00420C42">
              <w:t>P381: Alle Zündquellen entfernen, wenn gefahrlos möglich.</w:t>
            </w:r>
          </w:p>
          <w:p w:rsidR="00987D17" w:rsidRDefault="00987D17" w:rsidP="00624014">
            <w:pPr>
              <w:spacing w:after="0" w:line="240" w:lineRule="auto"/>
            </w:pPr>
            <w:r w:rsidRPr="00420C42">
              <w:t>P403 + P410: Vor Sonnenbestrahlung schützen. An einem gut belüfteten Ort aufbewahren</w:t>
            </w:r>
          </w:p>
        </w:tc>
      </w:tr>
    </w:tbl>
    <w:p w:rsidR="00987D17" w:rsidRDefault="00987D17">
      <w:pPr>
        <w:spacing w:after="0" w:line="240" w:lineRule="auto"/>
      </w:pPr>
    </w:p>
    <w:sectPr w:rsidR="00987D17" w:rsidSect="00B03AFC">
      <w:headerReference w:type="default" r:id="rId10"/>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A9" w:rsidRDefault="00C504A9" w:rsidP="00C00502">
      <w:pPr>
        <w:spacing w:after="0" w:line="240" w:lineRule="auto"/>
      </w:pPr>
      <w:r>
        <w:separator/>
      </w:r>
    </w:p>
  </w:endnote>
  <w:endnote w:type="continuationSeparator" w:id="0">
    <w:p w:rsidR="00C504A9" w:rsidRDefault="00C504A9"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A9" w:rsidRDefault="00C504A9" w:rsidP="00C00502">
      <w:pPr>
        <w:spacing w:after="0" w:line="240" w:lineRule="auto"/>
      </w:pPr>
      <w:r>
        <w:separator/>
      </w:r>
    </w:p>
  </w:footnote>
  <w:footnote w:type="continuationSeparator" w:id="0">
    <w:p w:rsidR="00C504A9" w:rsidRDefault="00C504A9"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2" w:rsidRDefault="000873A7" w:rsidP="00493E31">
    <w:pPr>
      <w:pStyle w:val="Kopfzeile"/>
      <w:tabs>
        <w:tab w:val="clear" w:pos="4536"/>
      </w:tabs>
    </w:pPr>
    <w:r>
      <w:t xml:space="preserve">Gefährdungsbeurteilung </w:t>
    </w:r>
    <w:r w:rsidR="008F7253">
      <w:t>Physik</w:t>
    </w:r>
    <w:r w:rsidR="00493E31">
      <w:tab/>
    </w:r>
    <w:r w:rsidR="001E2D0C">
      <w:rPr>
        <w:noProof/>
      </w:rPr>
      <w:drawing>
        <wp:inline distT="0" distB="0" distL="0" distR="0">
          <wp:extent cx="1257300" cy="584200"/>
          <wp:effectExtent l="0" t="0" r="0" b="6350"/>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4200"/>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9F9"/>
    <w:multiLevelType w:val="hybridMultilevel"/>
    <w:tmpl w:val="A1061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0DA25A4"/>
    <w:multiLevelType w:val="hybridMultilevel"/>
    <w:tmpl w:val="AC0602B0"/>
    <w:lvl w:ilvl="0" w:tplc="B608CE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78450E"/>
    <w:multiLevelType w:val="hybridMultilevel"/>
    <w:tmpl w:val="7E38961E"/>
    <w:lvl w:ilvl="0" w:tplc="5DEA3CB0">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E022A1"/>
    <w:multiLevelType w:val="hybridMultilevel"/>
    <w:tmpl w:val="2262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5A"/>
    <w:rsid w:val="00030768"/>
    <w:rsid w:val="000307DF"/>
    <w:rsid w:val="00044DC4"/>
    <w:rsid w:val="00075A26"/>
    <w:rsid w:val="00085247"/>
    <w:rsid w:val="000873A7"/>
    <w:rsid w:val="0009163E"/>
    <w:rsid w:val="000A7D6C"/>
    <w:rsid w:val="000B1005"/>
    <w:rsid w:val="000B4785"/>
    <w:rsid w:val="000B6B40"/>
    <w:rsid w:val="000D203F"/>
    <w:rsid w:val="000F0165"/>
    <w:rsid w:val="0011325E"/>
    <w:rsid w:val="00117E2D"/>
    <w:rsid w:val="001401A0"/>
    <w:rsid w:val="001549DB"/>
    <w:rsid w:val="00163FCF"/>
    <w:rsid w:val="00166290"/>
    <w:rsid w:val="00175E30"/>
    <w:rsid w:val="001A43F8"/>
    <w:rsid w:val="001B2802"/>
    <w:rsid w:val="001B7141"/>
    <w:rsid w:val="001C72C8"/>
    <w:rsid w:val="001C7BD2"/>
    <w:rsid w:val="001D36E0"/>
    <w:rsid w:val="001E141A"/>
    <w:rsid w:val="001E2D0C"/>
    <w:rsid w:val="001F7600"/>
    <w:rsid w:val="00202D05"/>
    <w:rsid w:val="0021181F"/>
    <w:rsid w:val="0024446C"/>
    <w:rsid w:val="002503C5"/>
    <w:rsid w:val="002625C2"/>
    <w:rsid w:val="0026403A"/>
    <w:rsid w:val="0027721C"/>
    <w:rsid w:val="002865C7"/>
    <w:rsid w:val="0029783D"/>
    <w:rsid w:val="002A0439"/>
    <w:rsid w:val="002E0716"/>
    <w:rsid w:val="002E3531"/>
    <w:rsid w:val="002F0B71"/>
    <w:rsid w:val="003208CC"/>
    <w:rsid w:val="00345EDF"/>
    <w:rsid w:val="00350448"/>
    <w:rsid w:val="00371B40"/>
    <w:rsid w:val="003736F8"/>
    <w:rsid w:val="003A702C"/>
    <w:rsid w:val="003C15DA"/>
    <w:rsid w:val="003D28C6"/>
    <w:rsid w:val="003D7EC6"/>
    <w:rsid w:val="003F3096"/>
    <w:rsid w:val="0040186F"/>
    <w:rsid w:val="00413392"/>
    <w:rsid w:val="004434EC"/>
    <w:rsid w:val="00456368"/>
    <w:rsid w:val="00472120"/>
    <w:rsid w:val="00472E27"/>
    <w:rsid w:val="00476E07"/>
    <w:rsid w:val="00493E31"/>
    <w:rsid w:val="00496D36"/>
    <w:rsid w:val="004C3102"/>
    <w:rsid w:val="004C5C29"/>
    <w:rsid w:val="004E0660"/>
    <w:rsid w:val="004E6F1E"/>
    <w:rsid w:val="004F4699"/>
    <w:rsid w:val="00501972"/>
    <w:rsid w:val="00520EE0"/>
    <w:rsid w:val="00555DEF"/>
    <w:rsid w:val="005773F9"/>
    <w:rsid w:val="00586E83"/>
    <w:rsid w:val="005D182C"/>
    <w:rsid w:val="00617967"/>
    <w:rsid w:val="00624D7A"/>
    <w:rsid w:val="006379CA"/>
    <w:rsid w:val="006442C3"/>
    <w:rsid w:val="0066409C"/>
    <w:rsid w:val="006977CC"/>
    <w:rsid w:val="006A6701"/>
    <w:rsid w:val="006E0775"/>
    <w:rsid w:val="006E07BD"/>
    <w:rsid w:val="006E20FE"/>
    <w:rsid w:val="006F3E7D"/>
    <w:rsid w:val="006F448E"/>
    <w:rsid w:val="007123A6"/>
    <w:rsid w:val="0071276C"/>
    <w:rsid w:val="00743F3D"/>
    <w:rsid w:val="00750693"/>
    <w:rsid w:val="00757CDA"/>
    <w:rsid w:val="00762CFF"/>
    <w:rsid w:val="007738C7"/>
    <w:rsid w:val="00775BEE"/>
    <w:rsid w:val="00787C78"/>
    <w:rsid w:val="00790D58"/>
    <w:rsid w:val="00794B15"/>
    <w:rsid w:val="007A09D5"/>
    <w:rsid w:val="007A2D0D"/>
    <w:rsid w:val="007A4D04"/>
    <w:rsid w:val="007D1D89"/>
    <w:rsid w:val="007E5FEE"/>
    <w:rsid w:val="007E79F1"/>
    <w:rsid w:val="00805F94"/>
    <w:rsid w:val="00812FF0"/>
    <w:rsid w:val="008262FE"/>
    <w:rsid w:val="00833D6A"/>
    <w:rsid w:val="00834979"/>
    <w:rsid w:val="00843C1E"/>
    <w:rsid w:val="008668F0"/>
    <w:rsid w:val="00896D23"/>
    <w:rsid w:val="008C6E37"/>
    <w:rsid w:val="008C7436"/>
    <w:rsid w:val="008D609B"/>
    <w:rsid w:val="008F3EA4"/>
    <w:rsid w:val="008F7253"/>
    <w:rsid w:val="008F7E88"/>
    <w:rsid w:val="009067E6"/>
    <w:rsid w:val="0091695C"/>
    <w:rsid w:val="009246E2"/>
    <w:rsid w:val="00927324"/>
    <w:rsid w:val="00937736"/>
    <w:rsid w:val="009547BD"/>
    <w:rsid w:val="0096300B"/>
    <w:rsid w:val="00970010"/>
    <w:rsid w:val="00987D17"/>
    <w:rsid w:val="009A5396"/>
    <w:rsid w:val="00A113E6"/>
    <w:rsid w:val="00A2556B"/>
    <w:rsid w:val="00A261FF"/>
    <w:rsid w:val="00A675A5"/>
    <w:rsid w:val="00A93ECC"/>
    <w:rsid w:val="00AB1571"/>
    <w:rsid w:val="00AC3FEB"/>
    <w:rsid w:val="00B03AFC"/>
    <w:rsid w:val="00B03E5B"/>
    <w:rsid w:val="00B303D2"/>
    <w:rsid w:val="00B41A45"/>
    <w:rsid w:val="00B74E2A"/>
    <w:rsid w:val="00B771FF"/>
    <w:rsid w:val="00B775DD"/>
    <w:rsid w:val="00B84BE0"/>
    <w:rsid w:val="00B926A7"/>
    <w:rsid w:val="00BA32C0"/>
    <w:rsid w:val="00BA3FD1"/>
    <w:rsid w:val="00BB3F7A"/>
    <w:rsid w:val="00BC6D31"/>
    <w:rsid w:val="00BE20F3"/>
    <w:rsid w:val="00BF2DA5"/>
    <w:rsid w:val="00C00502"/>
    <w:rsid w:val="00C0191A"/>
    <w:rsid w:val="00C163AF"/>
    <w:rsid w:val="00C31D67"/>
    <w:rsid w:val="00C504A9"/>
    <w:rsid w:val="00C739A0"/>
    <w:rsid w:val="00C7642E"/>
    <w:rsid w:val="00C76C9E"/>
    <w:rsid w:val="00C8478F"/>
    <w:rsid w:val="00CB3127"/>
    <w:rsid w:val="00CC73B5"/>
    <w:rsid w:val="00CC787F"/>
    <w:rsid w:val="00D143F0"/>
    <w:rsid w:val="00D25A81"/>
    <w:rsid w:val="00D37A2A"/>
    <w:rsid w:val="00D432C3"/>
    <w:rsid w:val="00D45A4A"/>
    <w:rsid w:val="00D53F75"/>
    <w:rsid w:val="00D8025D"/>
    <w:rsid w:val="00D817A2"/>
    <w:rsid w:val="00D822D3"/>
    <w:rsid w:val="00D83D47"/>
    <w:rsid w:val="00D8587B"/>
    <w:rsid w:val="00DB2165"/>
    <w:rsid w:val="00DC5838"/>
    <w:rsid w:val="00DF5236"/>
    <w:rsid w:val="00E2456C"/>
    <w:rsid w:val="00E331DF"/>
    <w:rsid w:val="00E75C10"/>
    <w:rsid w:val="00ED4B0C"/>
    <w:rsid w:val="00EE74C5"/>
    <w:rsid w:val="00EF3602"/>
    <w:rsid w:val="00F23079"/>
    <w:rsid w:val="00F3067F"/>
    <w:rsid w:val="00F47B83"/>
    <w:rsid w:val="00F52653"/>
    <w:rsid w:val="00F707F5"/>
    <w:rsid w:val="00F7335A"/>
    <w:rsid w:val="00F84373"/>
    <w:rsid w:val="00F97927"/>
    <w:rsid w:val="00FA299D"/>
    <w:rsid w:val="00FA630E"/>
    <w:rsid w:val="00FB2632"/>
    <w:rsid w:val="00FB269A"/>
    <w:rsid w:val="00FB5A69"/>
    <w:rsid w:val="00FE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D154D-A21C-4727-8C79-8EBF334F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4881">
      <w:bodyDiv w:val="1"/>
      <w:marLeft w:val="0"/>
      <w:marRight w:val="0"/>
      <w:marTop w:val="0"/>
      <w:marBottom w:val="0"/>
      <w:divBdr>
        <w:top w:val="none" w:sz="0" w:space="0" w:color="auto"/>
        <w:left w:val="none" w:sz="0" w:space="0" w:color="auto"/>
        <w:bottom w:val="none" w:sz="0" w:space="0" w:color="auto"/>
        <w:right w:val="none" w:sz="0" w:space="0" w:color="auto"/>
      </w:divBdr>
    </w:div>
    <w:div w:id="368192631">
      <w:bodyDiv w:val="1"/>
      <w:marLeft w:val="0"/>
      <w:marRight w:val="0"/>
      <w:marTop w:val="0"/>
      <w:marBottom w:val="0"/>
      <w:divBdr>
        <w:top w:val="none" w:sz="0" w:space="0" w:color="auto"/>
        <w:left w:val="none" w:sz="0" w:space="0" w:color="auto"/>
        <w:bottom w:val="none" w:sz="0" w:space="0" w:color="auto"/>
        <w:right w:val="none" w:sz="0" w:space="0" w:color="auto"/>
      </w:divBdr>
    </w:div>
    <w:div w:id="773595072">
      <w:bodyDiv w:val="1"/>
      <w:marLeft w:val="0"/>
      <w:marRight w:val="0"/>
      <w:marTop w:val="0"/>
      <w:marBottom w:val="0"/>
      <w:divBdr>
        <w:top w:val="none" w:sz="0" w:space="0" w:color="auto"/>
        <w:left w:val="none" w:sz="0" w:space="0" w:color="auto"/>
        <w:bottom w:val="none" w:sz="0" w:space="0" w:color="auto"/>
        <w:right w:val="none" w:sz="0" w:space="0" w:color="auto"/>
      </w:divBdr>
    </w:div>
    <w:div w:id="8881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Katharina Franke</cp:lastModifiedBy>
  <cp:revision>8</cp:revision>
  <dcterms:created xsi:type="dcterms:W3CDTF">2019-02-13T14:50:00Z</dcterms:created>
  <dcterms:modified xsi:type="dcterms:W3CDTF">2019-02-13T16:06:00Z</dcterms:modified>
</cp:coreProperties>
</file>