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71"/>
      </w:tblGrid>
      <w:tr w:rsidR="009E0D09" w:rsidRPr="00493E31" w14:paraId="6053F596" w14:textId="77777777" w:rsidTr="00C77287">
        <w:tc>
          <w:tcPr>
            <w:tcW w:w="9071" w:type="dxa"/>
            <w:shd w:val="clear" w:color="auto" w:fill="auto"/>
            <w:vAlign w:val="center"/>
          </w:tcPr>
          <w:p w14:paraId="6053F595" w14:textId="77777777" w:rsidR="009E0D09" w:rsidRPr="00493E31" w:rsidRDefault="009E0D09" w:rsidP="009E0D09">
            <w:pPr>
              <w:spacing w:after="0" w:line="240" w:lineRule="auto"/>
              <w:ind w:left="113"/>
              <w:rPr>
                <w:b/>
                <w:sz w:val="28"/>
                <w:szCs w:val="28"/>
              </w:rPr>
            </w:pPr>
            <w:r>
              <w:rPr>
                <w:b/>
                <w:sz w:val="28"/>
                <w:szCs w:val="28"/>
              </w:rPr>
              <w:t>TF 6: Spannung und Induktion – Elektrizität im Basiskonzept Energie</w:t>
            </w:r>
          </w:p>
        </w:tc>
      </w:tr>
    </w:tbl>
    <w:p w14:paraId="6053F597" w14:textId="77777777" w:rsidR="009E0D09" w:rsidRDefault="009E0D09" w:rsidP="009E0D09">
      <w:pPr>
        <w:spacing w:after="0" w:line="240" w:lineRule="auto"/>
      </w:pPr>
    </w:p>
    <w:p w14:paraId="6053F598" w14:textId="77777777" w:rsidR="00A81D8F" w:rsidRDefault="00A81D8F" w:rsidP="009D020D">
      <w:r>
        <w:t xml:space="preserve">Zentrale Begriffe des Themenfelds sind: </w:t>
      </w:r>
      <w:r w:rsidR="00452D57">
        <w:t>Generatorprinzip, Energieumladung, Potential, Induktion, Spannung, Potentialdifferenz (als Antrieb für Energieströme)</w:t>
      </w:r>
    </w:p>
    <w:p w14:paraId="6053F599" w14:textId="77777777" w:rsidR="00452D57" w:rsidRDefault="00452D57" w:rsidP="009D020D">
      <w:r>
        <w:t xml:space="preserve">Experimentell ergeben sich Schwerpunkte im Bereich der grundlegenden Induktionsexperimente und einfache Schaltungen mit Spannungsmessung. Die Zusammenhänge können mit geringen Spannungen </w:t>
      </w:r>
      <w:r w:rsidR="009D020D">
        <w:t>erarbeitet werden. Werden</w:t>
      </w:r>
      <w:r>
        <w:t xml:space="preserve"> dennoch </w:t>
      </w:r>
      <w:r w:rsidR="009D020D">
        <w:t xml:space="preserve">hohe Spannungen </w:t>
      </w:r>
      <w:r>
        <w:t xml:space="preserve">im Lehrerexperiment </w:t>
      </w:r>
      <w:r w:rsidR="009D020D">
        <w:t xml:space="preserve">eingesetzt, sollte auf eine geringe Stromstärke geachtet werden. Werden im Schülerexperiment mehrere Batterien zur Betrachtung der Potentiale verwendet, so muss die maximal mögliche Summe der Spannungen unter 25V sein. Werden Quellen im Kurzschluss betrieben, sollte dies immer nur kurzzeitig geschehen, um eine Erwärmung gering zu halten.  </w:t>
      </w:r>
    </w:p>
    <w:p w14:paraId="6053F59A" w14:textId="77777777" w:rsidR="00FF1C46" w:rsidRDefault="00452D57" w:rsidP="00FF1C46">
      <w:r>
        <w:t>Andere Experimente dienen der Veranschaulichung von Modellvorstellungen (bs</w:t>
      </w:r>
      <w:r w:rsidR="009D020D">
        <w:t xml:space="preserve">pw. Energieumladung am </w:t>
      </w:r>
      <w:proofErr w:type="spellStart"/>
      <w:r w:rsidR="009D020D">
        <w:t>Dynamot</w:t>
      </w:r>
      <w:proofErr w:type="spellEnd"/>
      <w:r w:rsidR="009D020D">
        <w:t>).</w:t>
      </w:r>
      <w:r w:rsidR="00FF1C46">
        <w:t xml:space="preserve"> Auf angemessene Hygienemaßnahmen ist im Allgemeinen zu achten und die Schülerinnen und Schüler entsprechend zu unterweisen (bspw. Waschflasche).</w:t>
      </w:r>
    </w:p>
    <w:p w14:paraId="6053F59B" w14:textId="77777777" w:rsidR="009D020D" w:rsidRDefault="009D020D" w:rsidP="009D020D">
      <w:pPr>
        <w:spacing w:after="0" w:line="240" w:lineRule="auto"/>
      </w:pPr>
    </w:p>
    <w:tbl>
      <w:tblPr>
        <w:tblW w:w="90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504"/>
      </w:tblGrid>
      <w:tr w:rsidR="00A04C67" w:rsidRPr="008A3CC6" w14:paraId="6053F59E" w14:textId="77777777" w:rsidTr="00ED57BE">
        <w:trPr>
          <w:cantSplit/>
          <w:trHeight w:val="567"/>
        </w:trPr>
        <w:tc>
          <w:tcPr>
            <w:tcW w:w="567" w:type="dxa"/>
            <w:shd w:val="clear" w:color="auto" w:fill="F2F2F2" w:themeFill="background1" w:themeFillShade="F2"/>
            <w:noWrap/>
            <w:textDirection w:val="btLr"/>
            <w:vAlign w:val="bottom"/>
            <w:hideMark/>
          </w:tcPr>
          <w:p w14:paraId="6053F59C" w14:textId="77777777" w:rsidR="00A04C67" w:rsidRPr="00AA126E" w:rsidRDefault="00A04C67" w:rsidP="00FF1C46">
            <w:pPr>
              <w:spacing w:after="0" w:line="240" w:lineRule="auto"/>
              <w:rPr>
                <w:rFonts w:asciiTheme="minorHAnsi" w:hAnsiTheme="minorHAnsi"/>
                <w:color w:val="000000"/>
                <w:sz w:val="24"/>
                <w:szCs w:val="24"/>
              </w:rPr>
            </w:pPr>
          </w:p>
        </w:tc>
        <w:tc>
          <w:tcPr>
            <w:tcW w:w="8504" w:type="dxa"/>
            <w:shd w:val="clear" w:color="auto" w:fill="F2F2F2" w:themeFill="background1" w:themeFillShade="F2"/>
            <w:noWrap/>
            <w:vAlign w:val="center"/>
            <w:hideMark/>
          </w:tcPr>
          <w:p w14:paraId="6053F59D" w14:textId="77777777" w:rsidR="00A04C67" w:rsidRPr="00276A12" w:rsidRDefault="00A04C67" w:rsidP="00FF1C46">
            <w:pPr>
              <w:spacing w:after="0" w:line="240" w:lineRule="auto"/>
              <w:rPr>
                <w:rFonts w:asciiTheme="minorHAnsi" w:hAnsiTheme="minorHAnsi"/>
                <w:b/>
                <w:color w:val="000000"/>
                <w:sz w:val="24"/>
                <w:szCs w:val="24"/>
              </w:rPr>
            </w:pPr>
            <w:r w:rsidRPr="00276A12">
              <w:rPr>
                <w:rFonts w:asciiTheme="minorHAnsi" w:hAnsiTheme="minorHAnsi"/>
                <w:b/>
                <w:color w:val="000000"/>
                <w:sz w:val="24"/>
                <w:szCs w:val="24"/>
              </w:rPr>
              <w:t>Beispiele für Experimente mit geringer Gefährdung</w:t>
            </w:r>
          </w:p>
        </w:tc>
      </w:tr>
      <w:tr w:rsidR="00A04C67" w:rsidRPr="008A3CC6" w14:paraId="6053F5A1" w14:textId="77777777" w:rsidTr="00ED57BE">
        <w:trPr>
          <w:trHeight w:val="375"/>
        </w:trPr>
        <w:tc>
          <w:tcPr>
            <w:tcW w:w="567" w:type="dxa"/>
            <w:vMerge w:val="restart"/>
            <w:textDirection w:val="tbRl"/>
            <w:vAlign w:val="center"/>
            <w:hideMark/>
          </w:tcPr>
          <w:p w14:paraId="6053F59F" w14:textId="77777777" w:rsidR="00A04C67" w:rsidRPr="009F5682" w:rsidRDefault="00A04C67" w:rsidP="009F5682">
            <w:pPr>
              <w:spacing w:after="0" w:line="240" w:lineRule="auto"/>
              <w:ind w:left="113" w:right="113"/>
              <w:jc w:val="center"/>
              <w:rPr>
                <w:rFonts w:asciiTheme="minorHAnsi" w:hAnsiTheme="minorHAnsi"/>
                <w:b/>
                <w:color w:val="000000"/>
                <w:sz w:val="24"/>
                <w:szCs w:val="24"/>
              </w:rPr>
            </w:pPr>
            <w:r w:rsidRPr="009F5682">
              <w:rPr>
                <w:rFonts w:asciiTheme="minorHAnsi" w:hAnsiTheme="minorHAnsi"/>
                <w:b/>
                <w:color w:val="000000"/>
                <w:sz w:val="24"/>
                <w:szCs w:val="24"/>
              </w:rPr>
              <w:t>Ha</w:t>
            </w:r>
            <w:r w:rsidR="009F5682" w:rsidRPr="009F5682">
              <w:rPr>
                <w:rFonts w:asciiTheme="minorHAnsi" w:hAnsiTheme="minorHAnsi"/>
                <w:b/>
                <w:color w:val="000000"/>
                <w:sz w:val="24"/>
                <w:szCs w:val="24"/>
              </w:rPr>
              <w:t xml:space="preserve">ndreichung TF </w:t>
            </w:r>
            <w:r w:rsidRPr="009F5682">
              <w:rPr>
                <w:rFonts w:asciiTheme="minorHAnsi" w:hAnsiTheme="minorHAnsi"/>
                <w:b/>
                <w:color w:val="000000"/>
                <w:sz w:val="24"/>
                <w:szCs w:val="24"/>
              </w:rPr>
              <w:t>6</w:t>
            </w:r>
          </w:p>
        </w:tc>
        <w:tc>
          <w:tcPr>
            <w:tcW w:w="8504" w:type="dxa"/>
            <w:shd w:val="clear" w:color="auto" w:fill="auto"/>
            <w:noWrap/>
            <w:vAlign w:val="bottom"/>
            <w:hideMark/>
          </w:tcPr>
          <w:p w14:paraId="6053F5A0" w14:textId="77777777" w:rsidR="00A04C67" w:rsidRPr="00FF73F1" w:rsidRDefault="00A04C67" w:rsidP="00FF73F1">
            <w:pPr>
              <w:spacing w:after="0" w:line="240" w:lineRule="auto"/>
              <w:rPr>
                <w:color w:val="000000"/>
                <w:sz w:val="24"/>
                <w:szCs w:val="24"/>
              </w:rPr>
            </w:pPr>
            <w:r w:rsidRPr="00FF73F1">
              <w:rPr>
                <w:color w:val="000000"/>
                <w:sz w:val="24"/>
                <w:szCs w:val="24"/>
              </w:rPr>
              <w:t>Wasserstromkreis mit Motor oder Riemenantrieb mit oder ohne Generator und Rotor</w:t>
            </w:r>
          </w:p>
        </w:tc>
      </w:tr>
      <w:tr w:rsidR="00A04C67" w:rsidRPr="008A3CC6" w14:paraId="6053F5A4" w14:textId="77777777" w:rsidTr="00ED57BE">
        <w:trPr>
          <w:trHeight w:val="375"/>
        </w:trPr>
        <w:tc>
          <w:tcPr>
            <w:tcW w:w="567" w:type="dxa"/>
            <w:vMerge/>
            <w:vAlign w:val="center"/>
            <w:hideMark/>
          </w:tcPr>
          <w:p w14:paraId="6053F5A2" w14:textId="77777777" w:rsidR="00A04C67" w:rsidRPr="00AA126E" w:rsidRDefault="00A04C67" w:rsidP="00FF1C46">
            <w:pPr>
              <w:spacing w:after="0" w:line="240" w:lineRule="auto"/>
              <w:jc w:val="center"/>
              <w:rPr>
                <w:rFonts w:asciiTheme="minorHAnsi" w:hAnsiTheme="minorHAnsi"/>
                <w:color w:val="000000"/>
                <w:sz w:val="24"/>
                <w:szCs w:val="24"/>
              </w:rPr>
            </w:pPr>
          </w:p>
        </w:tc>
        <w:tc>
          <w:tcPr>
            <w:tcW w:w="8504" w:type="dxa"/>
            <w:shd w:val="clear" w:color="auto" w:fill="auto"/>
            <w:noWrap/>
            <w:vAlign w:val="bottom"/>
            <w:hideMark/>
          </w:tcPr>
          <w:p w14:paraId="6053F5A3" w14:textId="77777777" w:rsidR="00A04C67" w:rsidRPr="00FF73F1" w:rsidRDefault="00A04C67" w:rsidP="00FF73F1">
            <w:pPr>
              <w:spacing w:after="0" w:line="240" w:lineRule="auto"/>
              <w:rPr>
                <w:color w:val="000000"/>
                <w:sz w:val="24"/>
                <w:szCs w:val="24"/>
              </w:rPr>
            </w:pPr>
            <w:r w:rsidRPr="00FF73F1">
              <w:rPr>
                <w:color w:val="000000"/>
                <w:sz w:val="24"/>
                <w:szCs w:val="24"/>
              </w:rPr>
              <w:t>Fahrradkettenmodell mit Riemenantrieb</w:t>
            </w:r>
          </w:p>
        </w:tc>
      </w:tr>
      <w:tr w:rsidR="00A04C67" w:rsidRPr="008A3CC6" w14:paraId="6053F5A7" w14:textId="77777777" w:rsidTr="00ED57BE">
        <w:trPr>
          <w:trHeight w:val="375"/>
        </w:trPr>
        <w:tc>
          <w:tcPr>
            <w:tcW w:w="567" w:type="dxa"/>
            <w:vMerge/>
            <w:vAlign w:val="center"/>
            <w:hideMark/>
          </w:tcPr>
          <w:p w14:paraId="6053F5A5" w14:textId="77777777" w:rsidR="00A04C67" w:rsidRPr="00AA126E" w:rsidRDefault="00A04C67" w:rsidP="00FF1C46">
            <w:pPr>
              <w:spacing w:after="0" w:line="240" w:lineRule="auto"/>
              <w:jc w:val="center"/>
              <w:rPr>
                <w:rFonts w:asciiTheme="minorHAnsi" w:hAnsiTheme="minorHAnsi"/>
                <w:color w:val="000000"/>
                <w:sz w:val="24"/>
                <w:szCs w:val="24"/>
              </w:rPr>
            </w:pPr>
          </w:p>
        </w:tc>
        <w:tc>
          <w:tcPr>
            <w:tcW w:w="8504" w:type="dxa"/>
            <w:shd w:val="clear" w:color="auto" w:fill="auto"/>
            <w:noWrap/>
            <w:vAlign w:val="bottom"/>
            <w:hideMark/>
          </w:tcPr>
          <w:p w14:paraId="6053F5A6" w14:textId="77777777" w:rsidR="00A04C67" w:rsidRPr="00FF73F1" w:rsidRDefault="00A04C67" w:rsidP="005806D1">
            <w:pPr>
              <w:spacing w:after="0" w:line="240" w:lineRule="auto"/>
              <w:rPr>
                <w:color w:val="000000"/>
                <w:sz w:val="24"/>
                <w:szCs w:val="24"/>
              </w:rPr>
            </w:pPr>
            <w:r w:rsidRPr="00FF73F1">
              <w:rPr>
                <w:color w:val="000000"/>
                <w:sz w:val="24"/>
                <w:szCs w:val="24"/>
              </w:rPr>
              <w:t>Kanister</w:t>
            </w:r>
            <w:r w:rsidR="005806D1">
              <w:rPr>
                <w:color w:val="000000"/>
                <w:sz w:val="24"/>
                <w:szCs w:val="24"/>
              </w:rPr>
              <w:t>-E</w:t>
            </w:r>
            <w:r w:rsidRPr="00FF73F1">
              <w:rPr>
                <w:color w:val="000000"/>
                <w:sz w:val="24"/>
                <w:szCs w:val="24"/>
              </w:rPr>
              <w:t>xperiment "Analogie Höhendifferenz"</w:t>
            </w:r>
          </w:p>
        </w:tc>
      </w:tr>
      <w:tr w:rsidR="00A04C67" w:rsidRPr="008A3CC6" w14:paraId="6053F5AA" w14:textId="77777777" w:rsidTr="00ED57BE">
        <w:trPr>
          <w:trHeight w:val="375"/>
        </w:trPr>
        <w:tc>
          <w:tcPr>
            <w:tcW w:w="567" w:type="dxa"/>
            <w:vMerge/>
            <w:vAlign w:val="center"/>
            <w:hideMark/>
          </w:tcPr>
          <w:p w14:paraId="6053F5A8" w14:textId="77777777" w:rsidR="00A04C67" w:rsidRPr="00AA126E" w:rsidRDefault="00A04C67" w:rsidP="00FF1C46">
            <w:pPr>
              <w:spacing w:after="0" w:line="240" w:lineRule="auto"/>
              <w:jc w:val="center"/>
              <w:rPr>
                <w:rFonts w:asciiTheme="minorHAnsi" w:hAnsiTheme="minorHAnsi"/>
                <w:color w:val="000000"/>
                <w:sz w:val="24"/>
                <w:szCs w:val="24"/>
              </w:rPr>
            </w:pPr>
          </w:p>
        </w:tc>
        <w:tc>
          <w:tcPr>
            <w:tcW w:w="8504" w:type="dxa"/>
            <w:shd w:val="clear" w:color="auto" w:fill="auto"/>
            <w:noWrap/>
            <w:vAlign w:val="bottom"/>
            <w:hideMark/>
          </w:tcPr>
          <w:p w14:paraId="6053F5A9" w14:textId="77777777" w:rsidR="00A04C67" w:rsidRPr="00FF73F1" w:rsidRDefault="00A04C67" w:rsidP="00FF73F1">
            <w:pPr>
              <w:spacing w:after="0" w:line="240" w:lineRule="auto"/>
              <w:rPr>
                <w:color w:val="000000"/>
                <w:sz w:val="24"/>
                <w:szCs w:val="24"/>
              </w:rPr>
            </w:pPr>
            <w:r w:rsidRPr="00FF73F1">
              <w:rPr>
                <w:color w:val="000000"/>
                <w:sz w:val="24"/>
                <w:szCs w:val="24"/>
              </w:rPr>
              <w:t>Verbundene Wasserspritzen</w:t>
            </w:r>
          </w:p>
        </w:tc>
      </w:tr>
      <w:tr w:rsidR="00A04C67" w:rsidRPr="008A3CC6" w14:paraId="6053F5AD" w14:textId="77777777" w:rsidTr="00ED57BE">
        <w:trPr>
          <w:trHeight w:val="375"/>
        </w:trPr>
        <w:tc>
          <w:tcPr>
            <w:tcW w:w="567" w:type="dxa"/>
            <w:vMerge/>
            <w:vAlign w:val="center"/>
          </w:tcPr>
          <w:p w14:paraId="6053F5AB" w14:textId="77777777" w:rsidR="00A04C67" w:rsidRPr="00AA126E" w:rsidRDefault="00A04C67" w:rsidP="00FF1C46">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6053F5AC" w14:textId="77777777" w:rsidR="00A04C67" w:rsidRPr="00FF73F1" w:rsidRDefault="00A04C67" w:rsidP="00FF73F1">
            <w:pPr>
              <w:spacing w:after="0" w:line="240" w:lineRule="auto"/>
              <w:rPr>
                <w:color w:val="000000"/>
                <w:sz w:val="24"/>
                <w:szCs w:val="24"/>
              </w:rPr>
            </w:pPr>
            <w:r w:rsidRPr="00FF73F1">
              <w:rPr>
                <w:color w:val="000000"/>
                <w:sz w:val="24"/>
                <w:szCs w:val="24"/>
              </w:rPr>
              <w:t>Pusten in Waschflasche</w:t>
            </w:r>
          </w:p>
        </w:tc>
      </w:tr>
      <w:tr w:rsidR="00A04C67" w:rsidRPr="008A3CC6" w14:paraId="6053F5B0" w14:textId="77777777" w:rsidTr="00ED57BE">
        <w:trPr>
          <w:trHeight w:val="375"/>
        </w:trPr>
        <w:tc>
          <w:tcPr>
            <w:tcW w:w="567" w:type="dxa"/>
            <w:vMerge/>
            <w:vAlign w:val="center"/>
          </w:tcPr>
          <w:p w14:paraId="6053F5AE" w14:textId="77777777" w:rsidR="00A04C67" w:rsidRPr="00AA126E" w:rsidRDefault="00A04C67" w:rsidP="00FF1C46">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6053F5AF" w14:textId="77777777" w:rsidR="00A04C67" w:rsidRPr="00FF73F1" w:rsidRDefault="00A04C67" w:rsidP="00FF73F1">
            <w:pPr>
              <w:spacing w:after="0" w:line="240" w:lineRule="auto"/>
              <w:rPr>
                <w:color w:val="000000"/>
                <w:sz w:val="24"/>
                <w:szCs w:val="24"/>
              </w:rPr>
            </w:pPr>
            <w:r w:rsidRPr="00FF73F1">
              <w:rPr>
                <w:color w:val="000000"/>
                <w:sz w:val="24"/>
                <w:szCs w:val="24"/>
              </w:rPr>
              <w:t>Demonstrationsexperiment Parallelschaltung mit einer Batterie und zwei Lämpchen</w:t>
            </w:r>
          </w:p>
        </w:tc>
      </w:tr>
      <w:tr w:rsidR="00A04C67" w:rsidRPr="008A3CC6" w14:paraId="6053F5B3" w14:textId="77777777" w:rsidTr="00ED57BE">
        <w:trPr>
          <w:trHeight w:val="375"/>
        </w:trPr>
        <w:tc>
          <w:tcPr>
            <w:tcW w:w="567" w:type="dxa"/>
            <w:vMerge/>
            <w:vAlign w:val="center"/>
          </w:tcPr>
          <w:p w14:paraId="6053F5B1" w14:textId="77777777" w:rsidR="00A04C67" w:rsidRPr="00AA126E" w:rsidRDefault="00A04C67" w:rsidP="00FF1C46">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6053F5B2" w14:textId="77777777" w:rsidR="00A04C67" w:rsidRPr="00FF73F1" w:rsidRDefault="00A04C67" w:rsidP="00FF73F1">
            <w:pPr>
              <w:spacing w:after="0" w:line="240" w:lineRule="auto"/>
              <w:rPr>
                <w:color w:val="000000"/>
                <w:sz w:val="24"/>
                <w:szCs w:val="24"/>
              </w:rPr>
            </w:pPr>
            <w:r w:rsidRPr="00FF73F1">
              <w:rPr>
                <w:color w:val="000000"/>
                <w:sz w:val="24"/>
                <w:szCs w:val="24"/>
              </w:rPr>
              <w:t>Experimente mit Magnet und Spule zur Induktion</w:t>
            </w:r>
          </w:p>
        </w:tc>
      </w:tr>
      <w:tr w:rsidR="00A04C67" w:rsidRPr="008A3CC6" w14:paraId="6053F5B6" w14:textId="77777777" w:rsidTr="00ED57BE">
        <w:trPr>
          <w:trHeight w:val="375"/>
        </w:trPr>
        <w:tc>
          <w:tcPr>
            <w:tcW w:w="567" w:type="dxa"/>
            <w:vMerge/>
            <w:vAlign w:val="center"/>
          </w:tcPr>
          <w:p w14:paraId="6053F5B4" w14:textId="77777777" w:rsidR="00A04C67" w:rsidRPr="00AA126E" w:rsidRDefault="00A04C67" w:rsidP="00FF1C46">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6053F5B5" w14:textId="77777777" w:rsidR="00A04C67" w:rsidRPr="00FF73F1" w:rsidRDefault="00A04C67" w:rsidP="00FF73F1">
            <w:pPr>
              <w:spacing w:after="0" w:line="240" w:lineRule="auto"/>
              <w:rPr>
                <w:color w:val="000000"/>
                <w:sz w:val="24"/>
                <w:szCs w:val="24"/>
              </w:rPr>
            </w:pPr>
            <w:r w:rsidRPr="00FF73F1">
              <w:rPr>
                <w:color w:val="000000"/>
                <w:sz w:val="24"/>
                <w:szCs w:val="24"/>
              </w:rPr>
              <w:t>Feldliniendarstellung mit kleinen Kompassnadeln</w:t>
            </w:r>
          </w:p>
        </w:tc>
      </w:tr>
      <w:tr w:rsidR="00A04C67" w:rsidRPr="008A3CC6" w14:paraId="6053F5B9" w14:textId="77777777" w:rsidTr="00ED57BE">
        <w:trPr>
          <w:trHeight w:val="375"/>
        </w:trPr>
        <w:tc>
          <w:tcPr>
            <w:tcW w:w="567" w:type="dxa"/>
            <w:vMerge/>
            <w:vAlign w:val="center"/>
          </w:tcPr>
          <w:p w14:paraId="6053F5B7" w14:textId="77777777" w:rsidR="00A04C67" w:rsidRPr="00AA126E" w:rsidRDefault="00A04C67" w:rsidP="00FF1C46">
            <w:pPr>
              <w:spacing w:after="0" w:line="240" w:lineRule="auto"/>
              <w:jc w:val="center"/>
              <w:rPr>
                <w:rFonts w:asciiTheme="minorHAnsi" w:hAnsiTheme="minorHAnsi"/>
                <w:color w:val="000000"/>
                <w:sz w:val="24"/>
                <w:szCs w:val="24"/>
              </w:rPr>
            </w:pPr>
          </w:p>
        </w:tc>
        <w:tc>
          <w:tcPr>
            <w:tcW w:w="8504" w:type="dxa"/>
            <w:shd w:val="clear" w:color="auto" w:fill="auto"/>
            <w:noWrap/>
            <w:vAlign w:val="bottom"/>
          </w:tcPr>
          <w:p w14:paraId="6053F5B8" w14:textId="77777777" w:rsidR="00A04C67" w:rsidRPr="00FF73F1" w:rsidRDefault="00276A12" w:rsidP="00FF73F1">
            <w:pPr>
              <w:spacing w:after="0" w:line="240" w:lineRule="auto"/>
              <w:rPr>
                <w:color w:val="000000"/>
                <w:sz w:val="24"/>
                <w:szCs w:val="24"/>
              </w:rPr>
            </w:pPr>
            <w:r w:rsidRPr="00FF73F1">
              <w:rPr>
                <w:color w:val="000000"/>
                <w:sz w:val="24"/>
                <w:szCs w:val="24"/>
              </w:rPr>
              <w:t>…</w:t>
            </w:r>
          </w:p>
        </w:tc>
      </w:tr>
      <w:tr w:rsidR="00A04C67" w:rsidRPr="008A3CC6" w14:paraId="6053F5BC" w14:textId="77777777" w:rsidTr="00ED57BE">
        <w:trPr>
          <w:trHeight w:val="375"/>
        </w:trPr>
        <w:tc>
          <w:tcPr>
            <w:tcW w:w="567" w:type="dxa"/>
            <w:vMerge/>
            <w:vAlign w:val="center"/>
            <w:hideMark/>
          </w:tcPr>
          <w:p w14:paraId="6053F5BA" w14:textId="77777777" w:rsidR="00A04C67" w:rsidRPr="00AA126E" w:rsidRDefault="00A04C67" w:rsidP="00FF1C46">
            <w:pPr>
              <w:spacing w:after="0" w:line="240" w:lineRule="auto"/>
              <w:jc w:val="center"/>
              <w:rPr>
                <w:rFonts w:asciiTheme="minorHAnsi" w:hAnsiTheme="minorHAnsi"/>
                <w:color w:val="000000"/>
                <w:sz w:val="24"/>
                <w:szCs w:val="24"/>
              </w:rPr>
            </w:pPr>
          </w:p>
        </w:tc>
        <w:tc>
          <w:tcPr>
            <w:tcW w:w="8504" w:type="dxa"/>
            <w:shd w:val="clear" w:color="auto" w:fill="auto"/>
            <w:noWrap/>
            <w:vAlign w:val="bottom"/>
            <w:hideMark/>
          </w:tcPr>
          <w:p w14:paraId="6053F5BB" w14:textId="77777777" w:rsidR="00A04C67" w:rsidRPr="00FF73F1" w:rsidRDefault="00A04C67" w:rsidP="00FF73F1">
            <w:pPr>
              <w:spacing w:after="0" w:line="240" w:lineRule="auto"/>
              <w:rPr>
                <w:color w:val="000000"/>
                <w:sz w:val="24"/>
                <w:szCs w:val="24"/>
              </w:rPr>
            </w:pPr>
          </w:p>
        </w:tc>
      </w:tr>
      <w:tr w:rsidR="00ED57BE" w:rsidRPr="008A3CC6" w14:paraId="6053F5BF" w14:textId="77777777" w:rsidTr="00ED57BE">
        <w:trPr>
          <w:trHeight w:val="375"/>
        </w:trPr>
        <w:tc>
          <w:tcPr>
            <w:tcW w:w="567" w:type="dxa"/>
            <w:vMerge w:val="restart"/>
            <w:textDirection w:val="tbRl"/>
            <w:vAlign w:val="center"/>
          </w:tcPr>
          <w:p w14:paraId="6053F5BD" w14:textId="77777777" w:rsidR="00ED57BE" w:rsidRPr="009F5682" w:rsidRDefault="00ED57BE" w:rsidP="00C016C7">
            <w:pPr>
              <w:spacing w:after="0" w:line="240" w:lineRule="auto"/>
              <w:ind w:left="113" w:right="113"/>
              <w:jc w:val="center"/>
              <w:rPr>
                <w:rFonts w:asciiTheme="minorHAnsi" w:hAnsiTheme="minorHAnsi"/>
                <w:b/>
                <w:color w:val="000000"/>
                <w:sz w:val="24"/>
                <w:szCs w:val="24"/>
              </w:rPr>
            </w:pPr>
            <w:r>
              <w:rPr>
                <w:rFonts w:asciiTheme="minorHAnsi" w:hAnsiTheme="minorHAnsi"/>
                <w:b/>
                <w:color w:val="000000"/>
                <w:sz w:val="24"/>
                <w:szCs w:val="24"/>
              </w:rPr>
              <w:t>w</w:t>
            </w:r>
            <w:r w:rsidRPr="009F5682">
              <w:rPr>
                <w:rFonts w:asciiTheme="minorHAnsi" w:hAnsiTheme="minorHAnsi"/>
                <w:b/>
                <w:color w:val="000000"/>
                <w:sz w:val="24"/>
                <w:szCs w:val="24"/>
              </w:rPr>
              <w:t>eitere Experimente</w:t>
            </w:r>
          </w:p>
        </w:tc>
        <w:tc>
          <w:tcPr>
            <w:tcW w:w="8504" w:type="dxa"/>
            <w:shd w:val="clear" w:color="auto" w:fill="auto"/>
            <w:noWrap/>
            <w:vAlign w:val="bottom"/>
          </w:tcPr>
          <w:p w14:paraId="6053F5BE" w14:textId="77777777" w:rsidR="00ED57BE" w:rsidRPr="00FF73F1" w:rsidRDefault="00ED57BE" w:rsidP="00FF73F1">
            <w:pPr>
              <w:spacing w:after="0" w:line="240" w:lineRule="auto"/>
              <w:rPr>
                <w:color w:val="000000"/>
                <w:sz w:val="24"/>
                <w:szCs w:val="24"/>
              </w:rPr>
            </w:pPr>
            <w:r w:rsidRPr="00FF73F1">
              <w:rPr>
                <w:color w:val="000000"/>
                <w:sz w:val="24"/>
                <w:szCs w:val="24"/>
              </w:rPr>
              <w:t>einfache Schaltungen mit Voltmeter</w:t>
            </w:r>
          </w:p>
        </w:tc>
      </w:tr>
      <w:tr w:rsidR="00ED57BE" w:rsidRPr="008A3CC6" w14:paraId="6053F5C2" w14:textId="77777777" w:rsidTr="00ED57BE">
        <w:trPr>
          <w:trHeight w:val="375"/>
        </w:trPr>
        <w:tc>
          <w:tcPr>
            <w:tcW w:w="567" w:type="dxa"/>
            <w:vMerge/>
            <w:textDirection w:val="tbRl"/>
            <w:vAlign w:val="center"/>
          </w:tcPr>
          <w:p w14:paraId="6053F5C0" w14:textId="77777777" w:rsidR="00ED57BE" w:rsidRPr="00AA126E" w:rsidRDefault="00ED57BE" w:rsidP="00FF1C46">
            <w:pPr>
              <w:spacing w:after="0" w:line="240" w:lineRule="auto"/>
              <w:ind w:left="113" w:right="113"/>
              <w:rPr>
                <w:rFonts w:asciiTheme="minorHAnsi" w:hAnsiTheme="minorHAnsi"/>
                <w:color w:val="000000"/>
                <w:sz w:val="24"/>
                <w:szCs w:val="24"/>
              </w:rPr>
            </w:pPr>
          </w:p>
        </w:tc>
        <w:tc>
          <w:tcPr>
            <w:tcW w:w="8504" w:type="dxa"/>
            <w:shd w:val="clear" w:color="auto" w:fill="auto"/>
            <w:noWrap/>
            <w:vAlign w:val="bottom"/>
          </w:tcPr>
          <w:p w14:paraId="6053F5C1" w14:textId="77777777" w:rsidR="00ED57BE" w:rsidRPr="00FF73F1" w:rsidRDefault="00ED57BE" w:rsidP="005806D1">
            <w:pPr>
              <w:spacing w:after="0" w:line="240" w:lineRule="auto"/>
              <w:rPr>
                <w:color w:val="000000"/>
                <w:sz w:val="24"/>
                <w:szCs w:val="24"/>
              </w:rPr>
            </w:pPr>
            <w:r w:rsidRPr="00FF73F1">
              <w:rPr>
                <w:color w:val="000000"/>
                <w:sz w:val="24"/>
                <w:szCs w:val="24"/>
              </w:rPr>
              <w:t>kleinster Elektromotor aus 1,5V Batterie, Nagel, Neodym</w:t>
            </w:r>
            <w:r>
              <w:rPr>
                <w:color w:val="000000"/>
                <w:sz w:val="24"/>
                <w:szCs w:val="24"/>
              </w:rPr>
              <w:t>-M</w:t>
            </w:r>
            <w:r w:rsidRPr="00FF73F1">
              <w:rPr>
                <w:color w:val="000000"/>
                <w:sz w:val="24"/>
                <w:szCs w:val="24"/>
              </w:rPr>
              <w:t>agnet und Kabel (nur kurzfristig wegen Wärmeentwicklung betreiben)</w:t>
            </w:r>
          </w:p>
        </w:tc>
      </w:tr>
      <w:tr w:rsidR="00ED57BE" w:rsidRPr="008A3CC6" w14:paraId="6053F5C5" w14:textId="77777777" w:rsidTr="00ED57BE">
        <w:trPr>
          <w:trHeight w:val="375"/>
        </w:trPr>
        <w:tc>
          <w:tcPr>
            <w:tcW w:w="567" w:type="dxa"/>
            <w:vMerge/>
            <w:vAlign w:val="center"/>
          </w:tcPr>
          <w:p w14:paraId="6053F5C3" w14:textId="77777777" w:rsidR="00ED57BE" w:rsidRPr="008A3CC6" w:rsidRDefault="00ED57BE" w:rsidP="00FF1C46">
            <w:pPr>
              <w:spacing w:after="0" w:line="240" w:lineRule="auto"/>
              <w:rPr>
                <w:rFonts w:asciiTheme="minorHAnsi" w:hAnsiTheme="minorHAnsi"/>
                <w:color w:val="000000"/>
                <w:sz w:val="24"/>
                <w:szCs w:val="24"/>
              </w:rPr>
            </w:pPr>
          </w:p>
        </w:tc>
        <w:tc>
          <w:tcPr>
            <w:tcW w:w="8504" w:type="dxa"/>
            <w:shd w:val="clear" w:color="auto" w:fill="auto"/>
            <w:noWrap/>
            <w:vAlign w:val="bottom"/>
          </w:tcPr>
          <w:p w14:paraId="6053F5C4" w14:textId="77777777" w:rsidR="00ED57BE" w:rsidRPr="00FF73F1" w:rsidRDefault="00ED57BE" w:rsidP="00FF73F1">
            <w:pPr>
              <w:spacing w:after="0" w:line="240" w:lineRule="auto"/>
              <w:rPr>
                <w:color w:val="000000"/>
                <w:sz w:val="24"/>
                <w:szCs w:val="24"/>
              </w:rPr>
            </w:pPr>
            <w:r w:rsidRPr="00FF73F1">
              <w:rPr>
                <w:color w:val="000000"/>
                <w:sz w:val="24"/>
                <w:szCs w:val="24"/>
              </w:rPr>
              <w:t>Messung Potentialdifferenz an Draht</w:t>
            </w:r>
          </w:p>
        </w:tc>
      </w:tr>
      <w:tr w:rsidR="00ED57BE" w:rsidRPr="008A3CC6" w14:paraId="6053F5C8" w14:textId="77777777" w:rsidTr="00ED57BE">
        <w:trPr>
          <w:trHeight w:val="375"/>
        </w:trPr>
        <w:tc>
          <w:tcPr>
            <w:tcW w:w="567" w:type="dxa"/>
            <w:vMerge/>
            <w:vAlign w:val="center"/>
          </w:tcPr>
          <w:p w14:paraId="6053F5C6" w14:textId="77777777" w:rsidR="00ED57BE" w:rsidRPr="008A3CC6" w:rsidRDefault="00ED57BE" w:rsidP="00FF1C46">
            <w:pPr>
              <w:spacing w:after="0" w:line="240" w:lineRule="auto"/>
              <w:rPr>
                <w:rFonts w:asciiTheme="minorHAnsi" w:hAnsiTheme="minorHAnsi"/>
                <w:color w:val="000000"/>
                <w:sz w:val="24"/>
                <w:szCs w:val="24"/>
              </w:rPr>
            </w:pPr>
          </w:p>
        </w:tc>
        <w:tc>
          <w:tcPr>
            <w:tcW w:w="8504" w:type="dxa"/>
            <w:shd w:val="clear" w:color="auto" w:fill="auto"/>
            <w:noWrap/>
            <w:vAlign w:val="bottom"/>
          </w:tcPr>
          <w:p w14:paraId="6053F5C7" w14:textId="77777777" w:rsidR="00ED57BE" w:rsidRPr="00FF73F1" w:rsidRDefault="00ED57BE" w:rsidP="00FF73F1">
            <w:pPr>
              <w:spacing w:after="0" w:line="240" w:lineRule="auto"/>
              <w:rPr>
                <w:color w:val="000000"/>
                <w:sz w:val="24"/>
                <w:szCs w:val="24"/>
              </w:rPr>
            </w:pPr>
            <w:r w:rsidRPr="00FF73F1">
              <w:rPr>
                <w:color w:val="000000"/>
                <w:sz w:val="24"/>
                <w:szCs w:val="24"/>
              </w:rPr>
              <w:t>Motorprinzip</w:t>
            </w:r>
          </w:p>
        </w:tc>
      </w:tr>
      <w:tr w:rsidR="00ED57BE" w:rsidRPr="008A3CC6" w14:paraId="6053F5CB" w14:textId="77777777" w:rsidTr="00ED57BE">
        <w:trPr>
          <w:trHeight w:val="375"/>
        </w:trPr>
        <w:tc>
          <w:tcPr>
            <w:tcW w:w="567" w:type="dxa"/>
            <w:vMerge/>
            <w:vAlign w:val="center"/>
          </w:tcPr>
          <w:p w14:paraId="6053F5C9" w14:textId="77777777" w:rsidR="00ED57BE" w:rsidRPr="008A3CC6" w:rsidRDefault="00ED57BE" w:rsidP="00FF1C46">
            <w:pPr>
              <w:spacing w:after="0" w:line="240" w:lineRule="auto"/>
              <w:rPr>
                <w:rFonts w:asciiTheme="minorHAnsi" w:hAnsiTheme="minorHAnsi"/>
                <w:color w:val="000000"/>
                <w:sz w:val="24"/>
                <w:szCs w:val="24"/>
              </w:rPr>
            </w:pPr>
          </w:p>
        </w:tc>
        <w:tc>
          <w:tcPr>
            <w:tcW w:w="8504" w:type="dxa"/>
            <w:shd w:val="clear" w:color="auto" w:fill="auto"/>
            <w:noWrap/>
            <w:vAlign w:val="bottom"/>
          </w:tcPr>
          <w:p w14:paraId="6053F5CA" w14:textId="77777777" w:rsidR="00ED57BE" w:rsidRPr="00FF73F1" w:rsidRDefault="00ED57BE" w:rsidP="00FF73F1">
            <w:pPr>
              <w:spacing w:after="0" w:line="240" w:lineRule="auto"/>
              <w:rPr>
                <w:color w:val="000000"/>
                <w:sz w:val="24"/>
                <w:szCs w:val="24"/>
              </w:rPr>
            </w:pPr>
            <w:r>
              <w:rPr>
                <w:color w:val="000000"/>
                <w:sz w:val="24"/>
                <w:szCs w:val="24"/>
              </w:rPr>
              <w:t>…</w:t>
            </w:r>
          </w:p>
        </w:tc>
      </w:tr>
      <w:tr w:rsidR="00ED57BE" w:rsidRPr="008A3CC6" w14:paraId="6053F5CE" w14:textId="77777777" w:rsidTr="00ED57BE">
        <w:trPr>
          <w:trHeight w:val="375"/>
        </w:trPr>
        <w:tc>
          <w:tcPr>
            <w:tcW w:w="567" w:type="dxa"/>
            <w:vMerge/>
            <w:vAlign w:val="center"/>
          </w:tcPr>
          <w:p w14:paraId="6053F5CC" w14:textId="77777777" w:rsidR="00ED57BE" w:rsidRPr="008A3CC6" w:rsidRDefault="00ED57BE" w:rsidP="00FF1C46">
            <w:pPr>
              <w:spacing w:after="0" w:line="240" w:lineRule="auto"/>
              <w:rPr>
                <w:rFonts w:asciiTheme="minorHAnsi" w:hAnsiTheme="minorHAnsi"/>
                <w:color w:val="000000"/>
                <w:sz w:val="24"/>
                <w:szCs w:val="24"/>
              </w:rPr>
            </w:pPr>
          </w:p>
        </w:tc>
        <w:tc>
          <w:tcPr>
            <w:tcW w:w="8504" w:type="dxa"/>
            <w:shd w:val="clear" w:color="auto" w:fill="auto"/>
            <w:noWrap/>
            <w:vAlign w:val="bottom"/>
          </w:tcPr>
          <w:p w14:paraId="6053F5CD" w14:textId="77777777" w:rsidR="00ED57BE" w:rsidRPr="00FF73F1" w:rsidRDefault="00ED57BE" w:rsidP="00FF1C46">
            <w:pPr>
              <w:spacing w:after="0" w:line="240" w:lineRule="auto"/>
              <w:rPr>
                <w:color w:val="000000"/>
                <w:sz w:val="24"/>
                <w:szCs w:val="24"/>
              </w:rPr>
            </w:pPr>
          </w:p>
        </w:tc>
      </w:tr>
      <w:tr w:rsidR="00ED57BE" w:rsidRPr="008A3CC6" w14:paraId="6053F5D1" w14:textId="77777777" w:rsidTr="00ED57BE">
        <w:trPr>
          <w:trHeight w:val="375"/>
        </w:trPr>
        <w:tc>
          <w:tcPr>
            <w:tcW w:w="567" w:type="dxa"/>
            <w:vMerge/>
            <w:vAlign w:val="center"/>
          </w:tcPr>
          <w:p w14:paraId="6053F5CF" w14:textId="77777777" w:rsidR="00ED57BE" w:rsidRPr="008A3CC6" w:rsidRDefault="00ED57BE" w:rsidP="00FF1C46">
            <w:pPr>
              <w:spacing w:after="0" w:line="240" w:lineRule="auto"/>
              <w:rPr>
                <w:rFonts w:asciiTheme="minorHAnsi" w:hAnsiTheme="minorHAnsi"/>
                <w:color w:val="000000"/>
                <w:sz w:val="24"/>
                <w:szCs w:val="24"/>
              </w:rPr>
            </w:pPr>
          </w:p>
        </w:tc>
        <w:tc>
          <w:tcPr>
            <w:tcW w:w="8504" w:type="dxa"/>
            <w:shd w:val="clear" w:color="auto" w:fill="auto"/>
            <w:noWrap/>
            <w:vAlign w:val="bottom"/>
          </w:tcPr>
          <w:p w14:paraId="6053F5D0" w14:textId="77777777" w:rsidR="00ED57BE" w:rsidRPr="00FF73F1" w:rsidRDefault="00ED57BE" w:rsidP="00FF1C46">
            <w:pPr>
              <w:spacing w:after="0" w:line="240" w:lineRule="auto"/>
              <w:rPr>
                <w:color w:val="000000"/>
                <w:sz w:val="24"/>
                <w:szCs w:val="24"/>
              </w:rPr>
            </w:pPr>
          </w:p>
        </w:tc>
      </w:tr>
    </w:tbl>
    <w:p w14:paraId="6053F5D2" w14:textId="77777777" w:rsidR="00523AF9" w:rsidRDefault="00523AF9" w:rsidP="002574C8"/>
    <w:sectPr w:rsidR="00523AF9" w:rsidSect="00650EC3">
      <w:headerReference w:type="default" r:id="rId8"/>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F676" w14:textId="77777777" w:rsidR="00890A0C" w:rsidRDefault="00890A0C" w:rsidP="00C00502">
      <w:pPr>
        <w:spacing w:after="0" w:line="240" w:lineRule="auto"/>
      </w:pPr>
      <w:r>
        <w:separator/>
      </w:r>
    </w:p>
  </w:endnote>
  <w:endnote w:type="continuationSeparator" w:id="0">
    <w:p w14:paraId="6053F677" w14:textId="77777777" w:rsidR="00890A0C" w:rsidRDefault="00890A0C" w:rsidP="00C0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3F674" w14:textId="77777777" w:rsidR="00890A0C" w:rsidRDefault="00890A0C" w:rsidP="00C00502">
      <w:pPr>
        <w:spacing w:after="0" w:line="240" w:lineRule="auto"/>
      </w:pPr>
      <w:r>
        <w:separator/>
      </w:r>
    </w:p>
  </w:footnote>
  <w:footnote w:type="continuationSeparator" w:id="0">
    <w:p w14:paraId="6053F675" w14:textId="77777777" w:rsidR="00890A0C" w:rsidRDefault="00890A0C" w:rsidP="00C00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3F678" w14:textId="77777777" w:rsidR="00FF1C46" w:rsidRDefault="00A22642" w:rsidP="00493E31">
    <w:pPr>
      <w:pStyle w:val="Kopfzeile"/>
      <w:tabs>
        <w:tab w:val="clear" w:pos="4536"/>
      </w:tabs>
    </w:pPr>
    <w:r>
      <w:t>Physik-Versuche mit geringer Gefährdung</w:t>
    </w:r>
    <w:r w:rsidR="00FF1C46">
      <w:tab/>
    </w:r>
    <w:r w:rsidR="00FF1C46">
      <w:rPr>
        <w:noProof/>
      </w:rPr>
      <w:drawing>
        <wp:inline distT="0" distB="0" distL="0" distR="0" wp14:anchorId="6053F679" wp14:editId="6053F67A">
          <wp:extent cx="1257300" cy="584200"/>
          <wp:effectExtent l="0" t="0" r="0" b="635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4200"/>
                  </a:xfrm>
                  <a:prstGeom prst="rect">
                    <a:avLst/>
                  </a:prstGeom>
                  <a:noFill/>
                  <a:ln>
                    <a:noFill/>
                  </a:ln>
                </pic:spPr>
              </pic:pic>
            </a:graphicData>
          </a:graphic>
        </wp:inline>
      </w:drawing>
    </w:r>
    <w:r w:rsidR="00FF1C46">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323DA"/>
    <w:multiLevelType w:val="hybridMultilevel"/>
    <w:tmpl w:val="957070D0"/>
    <w:lvl w:ilvl="0" w:tplc="B844B288">
      <w:start w:val="1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DA25A4"/>
    <w:multiLevelType w:val="hybridMultilevel"/>
    <w:tmpl w:val="AC0602B0"/>
    <w:lvl w:ilvl="0" w:tplc="B608CE0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546553"/>
    <w:multiLevelType w:val="hybridMultilevel"/>
    <w:tmpl w:val="79483D96"/>
    <w:lvl w:ilvl="0" w:tplc="070A849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C64B23"/>
    <w:multiLevelType w:val="hybridMultilevel"/>
    <w:tmpl w:val="773259DA"/>
    <w:lvl w:ilvl="0" w:tplc="04070001">
      <w:numFmt w:val="bullet"/>
      <w:lvlText w:val=""/>
      <w:lvlJc w:val="left"/>
      <w:pPr>
        <w:ind w:left="360" w:hanging="360"/>
      </w:pPr>
      <w:rPr>
        <w:rFonts w:ascii="Symbol" w:eastAsia="Times New Roman"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17F52FE"/>
    <w:multiLevelType w:val="hybridMultilevel"/>
    <w:tmpl w:val="7ADCEBCC"/>
    <w:lvl w:ilvl="0" w:tplc="C8A8576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A96364"/>
    <w:multiLevelType w:val="hybridMultilevel"/>
    <w:tmpl w:val="B57E505A"/>
    <w:lvl w:ilvl="0" w:tplc="C8F4D122">
      <w:numFmt w:val="bullet"/>
      <w:lvlText w:val=""/>
      <w:lvlJc w:val="left"/>
      <w:pPr>
        <w:ind w:left="405" w:hanging="360"/>
      </w:pPr>
      <w:rPr>
        <w:rFonts w:ascii="Symbol" w:eastAsia="Times New Roman" w:hAnsi="Symbol"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num w:numId="1" w16cid:durableId="194006341">
    <w:abstractNumId w:val="2"/>
  </w:num>
  <w:num w:numId="2" w16cid:durableId="1480657383">
    <w:abstractNumId w:val="1"/>
  </w:num>
  <w:num w:numId="3" w16cid:durableId="476654639">
    <w:abstractNumId w:val="5"/>
  </w:num>
  <w:num w:numId="4" w16cid:durableId="897595769">
    <w:abstractNumId w:val="3"/>
  </w:num>
  <w:num w:numId="5" w16cid:durableId="956566735">
    <w:abstractNumId w:val="4"/>
  </w:num>
  <w:num w:numId="6" w16cid:durableId="1820878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35A"/>
    <w:rsid w:val="00023158"/>
    <w:rsid w:val="0002741B"/>
    <w:rsid w:val="00030768"/>
    <w:rsid w:val="000307DF"/>
    <w:rsid w:val="00044DC4"/>
    <w:rsid w:val="0005543A"/>
    <w:rsid w:val="00085247"/>
    <w:rsid w:val="000873A7"/>
    <w:rsid w:val="000A540B"/>
    <w:rsid w:val="000A7D6C"/>
    <w:rsid w:val="000B4785"/>
    <w:rsid w:val="000B6B40"/>
    <w:rsid w:val="000F0165"/>
    <w:rsid w:val="00117E2D"/>
    <w:rsid w:val="001549DB"/>
    <w:rsid w:val="00163FCF"/>
    <w:rsid w:val="00166290"/>
    <w:rsid w:val="0017482D"/>
    <w:rsid w:val="001B04FB"/>
    <w:rsid w:val="001B7141"/>
    <w:rsid w:val="001C3AEA"/>
    <w:rsid w:val="001C3EDD"/>
    <w:rsid w:val="001C72C8"/>
    <w:rsid w:val="001D36E0"/>
    <w:rsid w:val="001E2D0C"/>
    <w:rsid w:val="001F7600"/>
    <w:rsid w:val="00205D09"/>
    <w:rsid w:val="0021181F"/>
    <w:rsid w:val="002309D0"/>
    <w:rsid w:val="002574C8"/>
    <w:rsid w:val="00265532"/>
    <w:rsid w:val="00276A12"/>
    <w:rsid w:val="002865C7"/>
    <w:rsid w:val="002B5DA6"/>
    <w:rsid w:val="002D3C0E"/>
    <w:rsid w:val="002E0716"/>
    <w:rsid w:val="002F2255"/>
    <w:rsid w:val="003208CC"/>
    <w:rsid w:val="00327679"/>
    <w:rsid w:val="00332852"/>
    <w:rsid w:val="00345EDF"/>
    <w:rsid w:val="00371B40"/>
    <w:rsid w:val="003736F8"/>
    <w:rsid w:val="00387444"/>
    <w:rsid w:val="00394858"/>
    <w:rsid w:val="003A702C"/>
    <w:rsid w:val="003D28C6"/>
    <w:rsid w:val="003E036D"/>
    <w:rsid w:val="003E303B"/>
    <w:rsid w:val="003F3096"/>
    <w:rsid w:val="003F3B9F"/>
    <w:rsid w:val="0040186F"/>
    <w:rsid w:val="004032FF"/>
    <w:rsid w:val="00413392"/>
    <w:rsid w:val="00421FB5"/>
    <w:rsid w:val="0045056E"/>
    <w:rsid w:val="00451D9C"/>
    <w:rsid w:val="00452D57"/>
    <w:rsid w:val="00456368"/>
    <w:rsid w:val="004716CC"/>
    <w:rsid w:val="00472E27"/>
    <w:rsid w:val="00485128"/>
    <w:rsid w:val="00493E31"/>
    <w:rsid w:val="00496D36"/>
    <w:rsid w:val="004A41B1"/>
    <w:rsid w:val="004C3102"/>
    <w:rsid w:val="004E0660"/>
    <w:rsid w:val="004E78CB"/>
    <w:rsid w:val="004F2561"/>
    <w:rsid w:val="00501972"/>
    <w:rsid w:val="00506559"/>
    <w:rsid w:val="00520EE0"/>
    <w:rsid w:val="00523AF9"/>
    <w:rsid w:val="00555DEF"/>
    <w:rsid w:val="00561832"/>
    <w:rsid w:val="005773F9"/>
    <w:rsid w:val="005806D1"/>
    <w:rsid w:val="00586E83"/>
    <w:rsid w:val="005A720D"/>
    <w:rsid w:val="005C4BF0"/>
    <w:rsid w:val="005C699B"/>
    <w:rsid w:val="005D182C"/>
    <w:rsid w:val="005E067C"/>
    <w:rsid w:val="005E79DB"/>
    <w:rsid w:val="00613062"/>
    <w:rsid w:val="00617967"/>
    <w:rsid w:val="00624D7A"/>
    <w:rsid w:val="00636D62"/>
    <w:rsid w:val="006442C3"/>
    <w:rsid w:val="00650EC3"/>
    <w:rsid w:val="0066409C"/>
    <w:rsid w:val="0067671E"/>
    <w:rsid w:val="006770D1"/>
    <w:rsid w:val="006A2C3F"/>
    <w:rsid w:val="006A6701"/>
    <w:rsid w:val="006E0775"/>
    <w:rsid w:val="006E07BD"/>
    <w:rsid w:val="006E20FE"/>
    <w:rsid w:val="006E6EBF"/>
    <w:rsid w:val="006E7E16"/>
    <w:rsid w:val="006F3E7D"/>
    <w:rsid w:val="0071276C"/>
    <w:rsid w:val="007200F0"/>
    <w:rsid w:val="00723024"/>
    <w:rsid w:val="00743F3D"/>
    <w:rsid w:val="00750693"/>
    <w:rsid w:val="00762CFF"/>
    <w:rsid w:val="007738C7"/>
    <w:rsid w:val="00775BEE"/>
    <w:rsid w:val="00787C78"/>
    <w:rsid w:val="00790D58"/>
    <w:rsid w:val="007A09D5"/>
    <w:rsid w:val="007A2D0D"/>
    <w:rsid w:val="007A4D04"/>
    <w:rsid w:val="007B6360"/>
    <w:rsid w:val="007D1D89"/>
    <w:rsid w:val="007E5FEE"/>
    <w:rsid w:val="007E79F1"/>
    <w:rsid w:val="007F5EBF"/>
    <w:rsid w:val="00805F94"/>
    <w:rsid w:val="00812FF0"/>
    <w:rsid w:val="008262FE"/>
    <w:rsid w:val="00833D6A"/>
    <w:rsid w:val="00843C1E"/>
    <w:rsid w:val="00845FAA"/>
    <w:rsid w:val="008644F9"/>
    <w:rsid w:val="008762BC"/>
    <w:rsid w:val="00890A0C"/>
    <w:rsid w:val="00896D23"/>
    <w:rsid w:val="008A3CC6"/>
    <w:rsid w:val="008B2FD8"/>
    <w:rsid w:val="008C6E37"/>
    <w:rsid w:val="008C7436"/>
    <w:rsid w:val="008C7B9A"/>
    <w:rsid w:val="008D609B"/>
    <w:rsid w:val="008F24E0"/>
    <w:rsid w:val="008F3EA4"/>
    <w:rsid w:val="008F7253"/>
    <w:rsid w:val="008F7E88"/>
    <w:rsid w:val="009042C6"/>
    <w:rsid w:val="009067E6"/>
    <w:rsid w:val="009200DC"/>
    <w:rsid w:val="009246E2"/>
    <w:rsid w:val="00927324"/>
    <w:rsid w:val="00937736"/>
    <w:rsid w:val="009547BD"/>
    <w:rsid w:val="00970010"/>
    <w:rsid w:val="00980432"/>
    <w:rsid w:val="009918B1"/>
    <w:rsid w:val="009B1859"/>
    <w:rsid w:val="009D020D"/>
    <w:rsid w:val="009E0D09"/>
    <w:rsid w:val="009E7A80"/>
    <w:rsid w:val="009F0093"/>
    <w:rsid w:val="009F5682"/>
    <w:rsid w:val="00A03074"/>
    <w:rsid w:val="00A04C67"/>
    <w:rsid w:val="00A113E6"/>
    <w:rsid w:val="00A22642"/>
    <w:rsid w:val="00A2556B"/>
    <w:rsid w:val="00A675A5"/>
    <w:rsid w:val="00A75FE5"/>
    <w:rsid w:val="00A81D8F"/>
    <w:rsid w:val="00A83DD1"/>
    <w:rsid w:val="00A93ECC"/>
    <w:rsid w:val="00AA126E"/>
    <w:rsid w:val="00AB1571"/>
    <w:rsid w:val="00AC3FEB"/>
    <w:rsid w:val="00B0027E"/>
    <w:rsid w:val="00B21D08"/>
    <w:rsid w:val="00B303D2"/>
    <w:rsid w:val="00B41A45"/>
    <w:rsid w:val="00B5046A"/>
    <w:rsid w:val="00B515BA"/>
    <w:rsid w:val="00B52732"/>
    <w:rsid w:val="00B72B0E"/>
    <w:rsid w:val="00B74E2A"/>
    <w:rsid w:val="00B76C85"/>
    <w:rsid w:val="00B775DD"/>
    <w:rsid w:val="00B84BE0"/>
    <w:rsid w:val="00BA1E35"/>
    <w:rsid w:val="00BA32C0"/>
    <w:rsid w:val="00BB3F7A"/>
    <w:rsid w:val="00BC6D31"/>
    <w:rsid w:val="00C00502"/>
    <w:rsid w:val="00C016C7"/>
    <w:rsid w:val="00C0191A"/>
    <w:rsid w:val="00C163AF"/>
    <w:rsid w:val="00C31D67"/>
    <w:rsid w:val="00C74D16"/>
    <w:rsid w:val="00C7642E"/>
    <w:rsid w:val="00C76C9E"/>
    <w:rsid w:val="00C8478F"/>
    <w:rsid w:val="00C86C99"/>
    <w:rsid w:val="00CB3127"/>
    <w:rsid w:val="00CC73B5"/>
    <w:rsid w:val="00CC787F"/>
    <w:rsid w:val="00CE7F40"/>
    <w:rsid w:val="00D143F0"/>
    <w:rsid w:val="00D45A4A"/>
    <w:rsid w:val="00D47764"/>
    <w:rsid w:val="00D53F75"/>
    <w:rsid w:val="00D62746"/>
    <w:rsid w:val="00D8025D"/>
    <w:rsid w:val="00D822D3"/>
    <w:rsid w:val="00DC3163"/>
    <w:rsid w:val="00DC5838"/>
    <w:rsid w:val="00DD6FD5"/>
    <w:rsid w:val="00DF5236"/>
    <w:rsid w:val="00E06420"/>
    <w:rsid w:val="00E2456C"/>
    <w:rsid w:val="00E331DF"/>
    <w:rsid w:val="00E644E1"/>
    <w:rsid w:val="00E75C10"/>
    <w:rsid w:val="00EB330D"/>
    <w:rsid w:val="00EB7EB7"/>
    <w:rsid w:val="00EC3F0C"/>
    <w:rsid w:val="00ED4B0C"/>
    <w:rsid w:val="00ED57BE"/>
    <w:rsid w:val="00EE74C5"/>
    <w:rsid w:val="00EF0C5F"/>
    <w:rsid w:val="00EF3602"/>
    <w:rsid w:val="00F06A06"/>
    <w:rsid w:val="00F23079"/>
    <w:rsid w:val="00F408C4"/>
    <w:rsid w:val="00F42028"/>
    <w:rsid w:val="00F436A4"/>
    <w:rsid w:val="00F52653"/>
    <w:rsid w:val="00F707F5"/>
    <w:rsid w:val="00F7335A"/>
    <w:rsid w:val="00F82A1E"/>
    <w:rsid w:val="00F84373"/>
    <w:rsid w:val="00F97927"/>
    <w:rsid w:val="00F9794F"/>
    <w:rsid w:val="00FA299D"/>
    <w:rsid w:val="00FA3BD4"/>
    <w:rsid w:val="00FB2632"/>
    <w:rsid w:val="00FB269A"/>
    <w:rsid w:val="00FD0DAB"/>
    <w:rsid w:val="00FE40B8"/>
    <w:rsid w:val="00FF1C46"/>
    <w:rsid w:val="00FF7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F409"/>
  <w15:docId w15:val="{19572872-507A-4ED2-BBF1-994A43B5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335A"/>
    <w:pPr>
      <w:spacing w:after="200" w:line="276" w:lineRule="auto"/>
    </w:pPr>
    <w:rPr>
      <w:rFonts w:eastAsia="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33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335A"/>
    <w:pPr>
      <w:ind w:left="720"/>
      <w:contextualSpacing/>
    </w:pPr>
  </w:style>
  <w:style w:type="paragraph" w:styleId="Sprechblasentext">
    <w:name w:val="Balloon Text"/>
    <w:basedOn w:val="Standard"/>
    <w:link w:val="SprechblasentextZchn"/>
    <w:uiPriority w:val="99"/>
    <w:semiHidden/>
    <w:unhideWhenUsed/>
    <w:rsid w:val="00843C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43C1E"/>
    <w:rPr>
      <w:rFonts w:ascii="Tahoma" w:eastAsia="Times New Roman" w:hAnsi="Tahoma" w:cs="Tahoma"/>
      <w:sz w:val="16"/>
      <w:szCs w:val="16"/>
      <w:lang w:eastAsia="de-DE"/>
    </w:rPr>
  </w:style>
  <w:style w:type="character" w:styleId="Kommentarzeichen">
    <w:name w:val="annotation reference"/>
    <w:uiPriority w:val="99"/>
    <w:semiHidden/>
    <w:unhideWhenUsed/>
    <w:rsid w:val="00C0191A"/>
    <w:rPr>
      <w:sz w:val="16"/>
      <w:szCs w:val="16"/>
    </w:rPr>
  </w:style>
  <w:style w:type="paragraph" w:styleId="Kommentartext">
    <w:name w:val="annotation text"/>
    <w:basedOn w:val="Standard"/>
    <w:link w:val="KommentartextZchn"/>
    <w:uiPriority w:val="99"/>
    <w:semiHidden/>
    <w:unhideWhenUsed/>
    <w:rsid w:val="00C0191A"/>
    <w:pPr>
      <w:spacing w:line="240" w:lineRule="auto"/>
    </w:pPr>
    <w:rPr>
      <w:sz w:val="20"/>
      <w:szCs w:val="20"/>
    </w:rPr>
  </w:style>
  <w:style w:type="character" w:customStyle="1" w:styleId="KommentartextZchn">
    <w:name w:val="Kommentartext Zchn"/>
    <w:link w:val="Kommentartext"/>
    <w:uiPriority w:val="99"/>
    <w:semiHidden/>
    <w:rsid w:val="00C0191A"/>
    <w:rPr>
      <w:rFonts w:eastAsia="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0191A"/>
    <w:rPr>
      <w:b/>
      <w:bCs/>
    </w:rPr>
  </w:style>
  <w:style w:type="character" w:customStyle="1" w:styleId="KommentarthemaZchn">
    <w:name w:val="Kommentarthema Zchn"/>
    <w:link w:val="Kommentarthema"/>
    <w:uiPriority w:val="99"/>
    <w:semiHidden/>
    <w:rsid w:val="00C0191A"/>
    <w:rPr>
      <w:rFonts w:eastAsia="Times New Roman"/>
      <w:b/>
      <w:bCs/>
      <w:sz w:val="20"/>
      <w:szCs w:val="20"/>
      <w:lang w:eastAsia="de-DE"/>
    </w:rPr>
  </w:style>
  <w:style w:type="paragraph" w:styleId="Kopfzeile">
    <w:name w:val="header"/>
    <w:basedOn w:val="Standard"/>
    <w:link w:val="KopfzeileZchn"/>
    <w:uiPriority w:val="99"/>
    <w:unhideWhenUsed/>
    <w:rsid w:val="00C00502"/>
    <w:pPr>
      <w:tabs>
        <w:tab w:val="center" w:pos="4536"/>
        <w:tab w:val="right" w:pos="9072"/>
      </w:tabs>
      <w:spacing w:after="0" w:line="240" w:lineRule="auto"/>
    </w:pPr>
  </w:style>
  <w:style w:type="character" w:customStyle="1" w:styleId="KopfzeileZchn">
    <w:name w:val="Kopfzeile Zchn"/>
    <w:link w:val="Kopfzeile"/>
    <w:uiPriority w:val="99"/>
    <w:rsid w:val="00C00502"/>
    <w:rPr>
      <w:rFonts w:eastAsia="Times New Roman"/>
      <w:lang w:eastAsia="de-DE"/>
    </w:rPr>
  </w:style>
  <w:style w:type="paragraph" w:styleId="Fuzeile">
    <w:name w:val="footer"/>
    <w:basedOn w:val="Standard"/>
    <w:link w:val="FuzeileZchn"/>
    <w:uiPriority w:val="99"/>
    <w:unhideWhenUsed/>
    <w:rsid w:val="00C00502"/>
    <w:pPr>
      <w:tabs>
        <w:tab w:val="center" w:pos="4536"/>
        <w:tab w:val="right" w:pos="9072"/>
      </w:tabs>
      <w:spacing w:after="0" w:line="240" w:lineRule="auto"/>
    </w:pPr>
  </w:style>
  <w:style w:type="character" w:customStyle="1" w:styleId="FuzeileZchn">
    <w:name w:val="Fußzeile Zchn"/>
    <w:link w:val="Fuzeile"/>
    <w:uiPriority w:val="99"/>
    <w:rsid w:val="00C00502"/>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6246">
      <w:bodyDiv w:val="1"/>
      <w:marLeft w:val="0"/>
      <w:marRight w:val="0"/>
      <w:marTop w:val="0"/>
      <w:marBottom w:val="0"/>
      <w:divBdr>
        <w:top w:val="none" w:sz="0" w:space="0" w:color="auto"/>
        <w:left w:val="none" w:sz="0" w:space="0" w:color="auto"/>
        <w:bottom w:val="none" w:sz="0" w:space="0" w:color="auto"/>
        <w:right w:val="none" w:sz="0" w:space="0" w:color="auto"/>
      </w:divBdr>
    </w:div>
    <w:div w:id="508907980">
      <w:bodyDiv w:val="1"/>
      <w:marLeft w:val="0"/>
      <w:marRight w:val="0"/>
      <w:marTop w:val="0"/>
      <w:marBottom w:val="0"/>
      <w:divBdr>
        <w:top w:val="none" w:sz="0" w:space="0" w:color="auto"/>
        <w:left w:val="none" w:sz="0" w:space="0" w:color="auto"/>
        <w:bottom w:val="none" w:sz="0" w:space="0" w:color="auto"/>
        <w:right w:val="none" w:sz="0" w:space="0" w:color="auto"/>
      </w:divBdr>
    </w:div>
    <w:div w:id="714500417">
      <w:bodyDiv w:val="1"/>
      <w:marLeft w:val="0"/>
      <w:marRight w:val="0"/>
      <w:marTop w:val="0"/>
      <w:marBottom w:val="0"/>
      <w:divBdr>
        <w:top w:val="none" w:sz="0" w:space="0" w:color="auto"/>
        <w:left w:val="none" w:sz="0" w:space="0" w:color="auto"/>
        <w:bottom w:val="none" w:sz="0" w:space="0" w:color="auto"/>
        <w:right w:val="none" w:sz="0" w:space="0" w:color="auto"/>
      </w:divBdr>
    </w:div>
    <w:div w:id="763570838">
      <w:bodyDiv w:val="1"/>
      <w:marLeft w:val="0"/>
      <w:marRight w:val="0"/>
      <w:marTop w:val="0"/>
      <w:marBottom w:val="0"/>
      <w:divBdr>
        <w:top w:val="none" w:sz="0" w:space="0" w:color="auto"/>
        <w:left w:val="none" w:sz="0" w:space="0" w:color="auto"/>
        <w:bottom w:val="none" w:sz="0" w:space="0" w:color="auto"/>
        <w:right w:val="none" w:sz="0" w:space="0" w:color="auto"/>
      </w:divBdr>
    </w:div>
    <w:div w:id="773595072">
      <w:bodyDiv w:val="1"/>
      <w:marLeft w:val="0"/>
      <w:marRight w:val="0"/>
      <w:marTop w:val="0"/>
      <w:marBottom w:val="0"/>
      <w:divBdr>
        <w:top w:val="none" w:sz="0" w:space="0" w:color="auto"/>
        <w:left w:val="none" w:sz="0" w:space="0" w:color="auto"/>
        <w:bottom w:val="none" w:sz="0" w:space="0" w:color="auto"/>
        <w:right w:val="none" w:sz="0" w:space="0" w:color="auto"/>
      </w:divBdr>
    </w:div>
    <w:div w:id="1109469200">
      <w:bodyDiv w:val="1"/>
      <w:marLeft w:val="0"/>
      <w:marRight w:val="0"/>
      <w:marTop w:val="0"/>
      <w:marBottom w:val="0"/>
      <w:divBdr>
        <w:top w:val="none" w:sz="0" w:space="0" w:color="auto"/>
        <w:left w:val="none" w:sz="0" w:space="0" w:color="auto"/>
        <w:bottom w:val="none" w:sz="0" w:space="0" w:color="auto"/>
        <w:right w:val="none" w:sz="0" w:space="0" w:color="auto"/>
      </w:divBdr>
    </w:div>
    <w:div w:id="1572544214">
      <w:bodyDiv w:val="1"/>
      <w:marLeft w:val="0"/>
      <w:marRight w:val="0"/>
      <w:marTop w:val="0"/>
      <w:marBottom w:val="0"/>
      <w:divBdr>
        <w:top w:val="none" w:sz="0" w:space="0" w:color="auto"/>
        <w:left w:val="none" w:sz="0" w:space="0" w:color="auto"/>
        <w:bottom w:val="none" w:sz="0" w:space="0" w:color="auto"/>
        <w:right w:val="none" w:sz="0" w:space="0" w:color="auto"/>
      </w:divBdr>
    </w:div>
    <w:div w:id="1872188941">
      <w:bodyDiv w:val="1"/>
      <w:marLeft w:val="0"/>
      <w:marRight w:val="0"/>
      <w:marTop w:val="0"/>
      <w:marBottom w:val="0"/>
      <w:divBdr>
        <w:top w:val="none" w:sz="0" w:space="0" w:color="auto"/>
        <w:left w:val="none" w:sz="0" w:space="0" w:color="auto"/>
        <w:bottom w:val="none" w:sz="0" w:space="0" w:color="auto"/>
        <w:right w:val="none" w:sz="0" w:space="0" w:color="auto"/>
      </w:divBdr>
    </w:div>
    <w:div w:id="2005282898">
      <w:bodyDiv w:val="1"/>
      <w:marLeft w:val="0"/>
      <w:marRight w:val="0"/>
      <w:marTop w:val="0"/>
      <w:marBottom w:val="0"/>
      <w:divBdr>
        <w:top w:val="none" w:sz="0" w:space="0" w:color="auto"/>
        <w:left w:val="none" w:sz="0" w:space="0" w:color="auto"/>
        <w:bottom w:val="none" w:sz="0" w:space="0" w:color="auto"/>
        <w:right w:val="none" w:sz="0" w:space="0" w:color="auto"/>
      </w:divBdr>
    </w:div>
    <w:div w:id="210865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D72C-E728-4B5B-B6D6-566CB151F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Nikolaus</dc:creator>
  <cp:lastModifiedBy>Marcus Andre</cp:lastModifiedBy>
  <cp:revision>5</cp:revision>
  <cp:lastPrinted>2018-05-23T12:29:00Z</cp:lastPrinted>
  <dcterms:created xsi:type="dcterms:W3CDTF">2019-05-24T09:53:00Z</dcterms:created>
  <dcterms:modified xsi:type="dcterms:W3CDTF">2023-02-16T14:14:00Z</dcterms:modified>
</cp:coreProperties>
</file>