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41B1" w:rsidRPr="00493E31" w:rsidTr="00B750C4">
        <w:tc>
          <w:tcPr>
            <w:tcW w:w="9060" w:type="dxa"/>
            <w:shd w:val="clear" w:color="auto" w:fill="auto"/>
          </w:tcPr>
          <w:p w:rsidR="002A41B1" w:rsidRPr="00493E31" w:rsidRDefault="002A41B1" w:rsidP="0067188A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Versuche mit der Kohlebogenlampe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C67CCA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10925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B1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-16139751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41B1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2A41B1" w:rsidRDefault="002A41B1" w:rsidP="00090A23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F02E39" w:rsidRDefault="00B86CBA" w:rsidP="009F6A5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3933908</wp:posOffset>
            </wp:positionH>
            <wp:positionV relativeFrom="paragraph">
              <wp:posOffset>330697</wp:posOffset>
            </wp:positionV>
            <wp:extent cx="2011680" cy="1322705"/>
            <wp:effectExtent l="19050" t="19050" r="26670" b="10795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2" r="18894"/>
                    <a:stretch/>
                  </pic:blipFill>
                  <pic:spPr bwMode="auto">
                    <a:xfrm>
                      <a:off x="0" y="0"/>
                      <a:ext cx="2011680" cy="13227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39">
        <w:t xml:space="preserve">Zwei </w:t>
      </w:r>
      <w:r w:rsidR="0060304A">
        <w:t>Graphit</w:t>
      </w:r>
      <w:r w:rsidR="00F02E39">
        <w:t>stifte</w:t>
      </w:r>
      <w:r w:rsidR="0060304A">
        <w:t xml:space="preserve"> (die Elektroden)</w:t>
      </w:r>
      <w:r w:rsidR="00F02E39">
        <w:t xml:space="preserve"> werden</w:t>
      </w:r>
      <w:r w:rsidR="0060304A">
        <w:t xml:space="preserve"> kurz zusammengeführt</w:t>
      </w:r>
      <w:r w:rsidR="00F02E39">
        <w:t xml:space="preserve"> </w:t>
      </w:r>
      <w:r w:rsidR="0060304A">
        <w:t>und</w:t>
      </w:r>
      <w:r w:rsidR="007F76A6">
        <w:t xml:space="preserve"> anschließend wieder etwas voneinander entfernt. Eine</w:t>
      </w:r>
      <w:r w:rsidR="0060304A">
        <w:t xml:space="preserve"> angelegte Spannung </w:t>
      </w:r>
      <w:r w:rsidR="007F76A6">
        <w:t xml:space="preserve">lässt einen Strom fließen, welcher die Elektroden </w:t>
      </w:r>
      <w:r w:rsidR="0060304A">
        <w:t>zu</w:t>
      </w:r>
      <w:r w:rsidR="007F76A6">
        <w:t>m</w:t>
      </w:r>
      <w:r w:rsidR="0060304A">
        <w:t xml:space="preserve"> </w:t>
      </w:r>
      <w:r w:rsidR="007F76A6">
        <w:t>G</w:t>
      </w:r>
      <w:r w:rsidR="0060304A">
        <w:t>lühen</w:t>
      </w:r>
      <w:r w:rsidR="007F76A6">
        <w:t xml:space="preserve"> bringt</w:t>
      </w:r>
      <w:r w:rsidR="0060304A">
        <w:t xml:space="preserve">. </w:t>
      </w:r>
      <w:r w:rsidR="007F76A6">
        <w:t>Der entstehende Li</w:t>
      </w:r>
      <w:r w:rsidR="00F02E39">
        <w:t xml:space="preserve">chtbogen </w:t>
      </w:r>
      <w:r w:rsidR="007F76A6">
        <w:t>ist auf die Bildung eines Plasmas in der Luft zurückzuführen und leuchtet sehr hell</w:t>
      </w:r>
      <w:r w:rsidR="00F02E39">
        <w:t>.</w:t>
      </w:r>
    </w:p>
    <w:p w:rsidR="00F7335A" w:rsidRDefault="007F76A6" w:rsidP="009F6A50">
      <w:pPr>
        <w:spacing w:after="0" w:line="240" w:lineRule="auto"/>
      </w:pPr>
      <w:r>
        <w:t>M</w:t>
      </w:r>
      <w:r w:rsidR="00F02E39">
        <w:t>ithilfe von Linsen sowie einem</w:t>
      </w:r>
      <w:r w:rsidR="002E5BD9">
        <w:t xml:space="preserve"> Spalt, </w:t>
      </w:r>
      <w:r w:rsidR="00C31BC7">
        <w:t xml:space="preserve">Doppelspalt </w:t>
      </w:r>
      <w:r w:rsidR="002E5BD9">
        <w:t xml:space="preserve">oder </w:t>
      </w:r>
      <w:r w:rsidR="00C31BC7">
        <w:t>ein</w:t>
      </w:r>
      <w:r w:rsidR="00F02E39">
        <w:t>em</w:t>
      </w:r>
      <w:r w:rsidR="00C31BC7">
        <w:t xml:space="preserve"> </w:t>
      </w:r>
      <w:r w:rsidR="002E5BD9">
        <w:t>Gitter</w:t>
      </w:r>
      <w:r w:rsidR="00F02E39">
        <w:t xml:space="preserve"> bzw. einem (Geradsicht-)</w:t>
      </w:r>
      <w:r>
        <w:t xml:space="preserve"> </w:t>
      </w:r>
      <w:r w:rsidR="00F02E39">
        <w:t xml:space="preserve">Prisma </w:t>
      </w:r>
      <w:r>
        <w:t>kann ein sehr intensive</w:t>
      </w:r>
      <w:r w:rsidR="009854BD">
        <w:t>s</w:t>
      </w:r>
      <w:r>
        <w:t xml:space="preserve"> und kontinuierliche</w:t>
      </w:r>
      <w:r w:rsidR="009854BD">
        <w:t>s</w:t>
      </w:r>
      <w:r>
        <w:t xml:space="preserve"> Spektrum </w:t>
      </w:r>
      <w:r w:rsidR="00F02E39">
        <w:t xml:space="preserve">erzeugt und vermessen werden. Insbesondere der Infrarotanteil des Spektrums kann hierbei </w:t>
      </w:r>
      <w:r w:rsidR="009854BD">
        <w:t xml:space="preserve">z. B. </w:t>
      </w:r>
      <w:r w:rsidR="00F02E39">
        <w:t>mit einer Thermokamera registriert werden.</w:t>
      </w:r>
      <w:r w:rsidR="00925120">
        <w:t xml:space="preserve"> </w:t>
      </w:r>
    </w:p>
    <w:p w:rsidR="00F7335A" w:rsidRDefault="00F7335A" w:rsidP="00F7335A">
      <w:pPr>
        <w:spacing w:after="0" w:line="240" w:lineRule="auto"/>
      </w:pPr>
    </w:p>
    <w:p w:rsidR="00F7335A" w:rsidRDefault="00F7335A" w:rsidP="00090A23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597937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41B1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42733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41B1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152804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41B1">
            <w:rPr>
              <w:rFonts w:ascii="MS Gothic" w:eastAsia="MS Gothic" w:hAnsi="MS Gothic" w:hint="eastAsia"/>
            </w:rPr>
            <w:t>☒</w:t>
          </w:r>
        </w:sdtContent>
      </w:sdt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1C714C" w:rsidRPr="001C714C" w:rsidTr="00493E31">
        <w:tc>
          <w:tcPr>
            <w:tcW w:w="3227" w:type="dxa"/>
            <w:shd w:val="clear" w:color="auto" w:fill="auto"/>
          </w:tcPr>
          <w:p w:rsidR="00F7335A" w:rsidRPr="001C714C" w:rsidRDefault="00F7335A" w:rsidP="00493E31">
            <w:pPr>
              <w:spacing w:after="0" w:line="240" w:lineRule="auto"/>
              <w:rPr>
                <w:b/>
              </w:rPr>
            </w:pPr>
            <w:r w:rsidRPr="001C714C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1C714C" w:rsidRDefault="00F7335A" w:rsidP="00493E31">
            <w:pPr>
              <w:spacing w:after="0" w:line="240" w:lineRule="auto"/>
              <w:rPr>
                <w:b/>
              </w:rPr>
            </w:pPr>
            <w:r w:rsidRPr="001C714C">
              <w:rPr>
                <w:b/>
              </w:rPr>
              <w:t xml:space="preserve">Schutzmaßnahmen (z. B. gerätebezogen, baulich, </w:t>
            </w:r>
            <w:r w:rsidR="007A09D5" w:rsidRPr="001C714C">
              <w:rPr>
                <w:b/>
              </w:rPr>
              <w:br/>
            </w:r>
            <w:r w:rsidRPr="001C714C">
              <w:rPr>
                <w:b/>
              </w:rPr>
              <w:t xml:space="preserve">bei </w:t>
            </w:r>
            <w:r w:rsidR="00EE74C5" w:rsidRPr="001C714C">
              <w:rPr>
                <w:b/>
              </w:rPr>
              <w:t>der Durchführung des Versuchs</w:t>
            </w:r>
            <w:r w:rsidRPr="001C714C">
              <w:rPr>
                <w:b/>
              </w:rPr>
              <w:t xml:space="preserve">) </w:t>
            </w:r>
          </w:p>
        </w:tc>
      </w:tr>
      <w:tr w:rsidR="001C714C" w:rsidRPr="001C714C" w:rsidTr="00493E31">
        <w:tc>
          <w:tcPr>
            <w:tcW w:w="3227" w:type="dxa"/>
            <w:shd w:val="clear" w:color="auto" w:fill="auto"/>
          </w:tcPr>
          <w:p w:rsidR="00F7335A" w:rsidRPr="001C714C" w:rsidRDefault="00CC670C" w:rsidP="0083599D">
            <w:pPr>
              <w:spacing w:after="0" w:line="240" w:lineRule="auto"/>
            </w:pPr>
            <w:r w:rsidRPr="001C714C">
              <w:t xml:space="preserve">Schädigung von </w:t>
            </w:r>
            <w:r w:rsidR="003222AF" w:rsidRPr="001C714C">
              <w:t xml:space="preserve">Augen </w:t>
            </w:r>
            <w:r w:rsidRPr="001C714C">
              <w:t>und Netzhaut</w:t>
            </w:r>
            <w:r w:rsidR="0083599D" w:rsidRPr="001C714C">
              <w:t xml:space="preserve"> durch </w:t>
            </w:r>
            <w:r w:rsidR="00B27E5B" w:rsidRPr="001C714C">
              <w:t>Helligkeit</w:t>
            </w:r>
            <w:r w:rsidR="0083599D" w:rsidRPr="001C714C">
              <w:t xml:space="preserve"> und </w:t>
            </w:r>
            <w:r w:rsidR="00B27E5B" w:rsidRPr="001C714C">
              <w:t xml:space="preserve"> UV-Licht</w:t>
            </w:r>
            <w:r w:rsidR="00CC73B5" w:rsidRPr="001C714C">
              <w:br/>
            </w:r>
          </w:p>
        </w:tc>
        <w:tc>
          <w:tcPr>
            <w:tcW w:w="5953" w:type="dxa"/>
            <w:shd w:val="clear" w:color="auto" w:fill="auto"/>
          </w:tcPr>
          <w:p w:rsidR="00DE0FEA" w:rsidRPr="001C714C" w:rsidRDefault="00D20582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 xml:space="preserve">Direkten Blick in </w:t>
            </w:r>
            <w:r w:rsidR="001A7B07" w:rsidRPr="001C714C">
              <w:t xml:space="preserve">die Lichtquelle, </w:t>
            </w:r>
            <w:r w:rsidR="00E43A62" w:rsidRPr="001C714C">
              <w:t xml:space="preserve">den Strahlengang und den Lichtbogen </w:t>
            </w:r>
            <w:r w:rsidRPr="001C714C">
              <w:t>vermeiden</w:t>
            </w:r>
            <w:r w:rsidR="00D17A71" w:rsidRPr="001C714C">
              <w:t>.</w:t>
            </w:r>
          </w:p>
          <w:p w:rsidR="004E3036" w:rsidRPr="001C714C" w:rsidRDefault="004E3036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Ausbreitungsrichtung des Lichts senkrecht zur Beobachtungsrichtung und nicht in Richtung der Eingangstür ausrichten.</w:t>
            </w:r>
          </w:p>
          <w:p w:rsidR="00DE0FEA" w:rsidRPr="001C714C" w:rsidRDefault="00DE0FEA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 xml:space="preserve">Lampe nur für den Gebrauch </w:t>
            </w:r>
            <w:r w:rsidR="004E3036" w:rsidRPr="001C714C">
              <w:t>zünden und das Gehäuse nie öffnen, während die Lampe in Betrieb ist</w:t>
            </w:r>
            <w:r w:rsidR="00D17A71" w:rsidRPr="001C714C">
              <w:t>.</w:t>
            </w:r>
          </w:p>
          <w:p w:rsidR="00DD68FE" w:rsidRPr="001C714C" w:rsidRDefault="00DD68FE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Reflexionen vermeiden (Uhr, Glas,…)</w:t>
            </w:r>
            <w:r w:rsidR="00D17A71" w:rsidRPr="001C714C">
              <w:t>.</w:t>
            </w:r>
          </w:p>
        </w:tc>
      </w:tr>
      <w:tr w:rsidR="001C714C" w:rsidRPr="001C714C" w:rsidTr="00493E31">
        <w:tc>
          <w:tcPr>
            <w:tcW w:w="3227" w:type="dxa"/>
            <w:shd w:val="clear" w:color="auto" w:fill="auto"/>
          </w:tcPr>
          <w:p w:rsidR="002E47A1" w:rsidRPr="001C714C" w:rsidRDefault="005543DD" w:rsidP="00493E31">
            <w:pPr>
              <w:spacing w:after="0" w:line="240" w:lineRule="auto"/>
            </w:pPr>
            <w:r w:rsidRPr="001C714C">
              <w:t>Offene elektrische Spannung</w:t>
            </w:r>
          </w:p>
          <w:p w:rsidR="00F7335A" w:rsidRPr="001C714C" w:rsidRDefault="002E47A1" w:rsidP="00493E31">
            <w:pPr>
              <w:spacing w:after="0" w:line="240" w:lineRule="auto"/>
            </w:pPr>
            <w:r w:rsidRPr="001C714C">
              <w:t>(ggf. berührungsgefährlich)</w:t>
            </w:r>
            <w:r w:rsidR="00CC73B5" w:rsidRPr="001C714C">
              <w:br/>
            </w:r>
            <w:r w:rsidR="00166290" w:rsidRPr="001C714C">
              <w:br/>
            </w:r>
            <w:r w:rsidR="00CC73B5" w:rsidRPr="001C714C">
              <w:br/>
            </w:r>
          </w:p>
        </w:tc>
        <w:tc>
          <w:tcPr>
            <w:tcW w:w="5953" w:type="dxa"/>
            <w:shd w:val="clear" w:color="auto" w:fill="auto"/>
          </w:tcPr>
          <w:p w:rsidR="00F7335A" w:rsidRPr="001C714C" w:rsidRDefault="009854BD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 xml:space="preserve">Austausch und </w:t>
            </w:r>
            <w:proofErr w:type="spellStart"/>
            <w:r w:rsidR="005543DD" w:rsidRPr="001C714C">
              <w:t>Justage</w:t>
            </w:r>
            <w:proofErr w:type="spellEnd"/>
            <w:r w:rsidR="005543DD" w:rsidRPr="001C714C">
              <w:t xml:space="preserve"> der Kohlestäbe </w:t>
            </w:r>
            <w:r w:rsidR="007F76A6" w:rsidRPr="001C714C">
              <w:t xml:space="preserve">ausschließlich bei vom </w:t>
            </w:r>
            <w:r w:rsidR="005543DD" w:rsidRPr="001C714C">
              <w:t>Netz getrennter Lampe</w:t>
            </w:r>
            <w:r w:rsidR="00D17A71" w:rsidRPr="001C714C">
              <w:t>.</w:t>
            </w:r>
          </w:p>
          <w:p w:rsidR="005543DD" w:rsidRPr="001C714C" w:rsidRDefault="005543DD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Kein Öffnen oder Anfassen der Lampe/des Gehäu</w:t>
            </w:r>
            <w:r w:rsidR="002E47A1" w:rsidRPr="001C714C">
              <w:t>ses bei angeschossener Spannung</w:t>
            </w:r>
            <w:r w:rsidR="00D17A71" w:rsidRPr="001C714C">
              <w:t>.</w:t>
            </w:r>
          </w:p>
          <w:p w:rsidR="002E47A1" w:rsidRPr="001C714C" w:rsidRDefault="002E47A1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Brennspannung von 25 bis 50 Volt nicht überschreiten (berührungsgefährlich)</w:t>
            </w:r>
            <w:r w:rsidR="00D17A71" w:rsidRPr="001C714C">
              <w:t>.</w:t>
            </w:r>
          </w:p>
          <w:p w:rsidR="00B27E5B" w:rsidRPr="001C714C" w:rsidRDefault="00B27E5B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Nur mit geeignetem Betriebsgerät verwenden</w:t>
            </w:r>
            <w:r w:rsidR="00D17A71" w:rsidRPr="001C714C">
              <w:t>.</w:t>
            </w:r>
          </w:p>
        </w:tc>
      </w:tr>
      <w:tr w:rsidR="001C714C" w:rsidRPr="001C714C" w:rsidTr="00493E31">
        <w:tc>
          <w:tcPr>
            <w:tcW w:w="3227" w:type="dxa"/>
            <w:shd w:val="clear" w:color="auto" w:fill="auto"/>
          </w:tcPr>
          <w:p w:rsidR="00F7335A" w:rsidRPr="001C714C" w:rsidRDefault="005543DD" w:rsidP="00116918">
            <w:pPr>
              <w:spacing w:after="0" w:line="240" w:lineRule="auto"/>
            </w:pPr>
            <w:r w:rsidRPr="001C714C">
              <w:t>Verbrennung</w:t>
            </w:r>
            <w:r w:rsidR="00CC73B5" w:rsidRPr="001C714C">
              <w:br/>
            </w:r>
          </w:p>
        </w:tc>
        <w:tc>
          <w:tcPr>
            <w:tcW w:w="5953" w:type="dxa"/>
            <w:shd w:val="clear" w:color="auto" w:fill="auto"/>
          </w:tcPr>
          <w:p w:rsidR="00F7335A" w:rsidRPr="001C714C" w:rsidRDefault="009A6BFC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Lampe und das Gehäuse beim Experimentieren und nach dem Ausschalten beim Abkühlen (mind. 10 Min) nicht berühren</w:t>
            </w:r>
            <w:r w:rsidR="00D17A71" w:rsidRPr="001C714C">
              <w:t>.</w:t>
            </w:r>
          </w:p>
          <w:p w:rsidR="00DE0FEA" w:rsidRPr="001C714C" w:rsidRDefault="00DE0FEA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Nur hitzebeständige Linsen und Bauteile verwenden</w:t>
            </w:r>
            <w:r w:rsidR="00D17A71" w:rsidRPr="001C714C">
              <w:t>.</w:t>
            </w:r>
          </w:p>
          <w:p w:rsidR="007D7736" w:rsidRPr="001C714C" w:rsidRDefault="007D7736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Brennpunkte von Linsen und P</w:t>
            </w:r>
            <w:r w:rsidR="009854BD" w:rsidRPr="001C714C">
              <w:t>arabolspiegeln unbedingt meiden</w:t>
            </w:r>
            <w:r w:rsidR="00D17A71" w:rsidRPr="001C714C">
              <w:t>.</w:t>
            </w:r>
          </w:p>
          <w:p w:rsidR="001C714C" w:rsidRPr="001C714C" w:rsidRDefault="001C714C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Stabiler und kippsicherer Aufbau der gesamten Anordnung auf einer optischen Bank.</w:t>
            </w:r>
          </w:p>
          <w:p w:rsidR="00DE0FEA" w:rsidRPr="001C714C" w:rsidRDefault="00DE0FEA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 xml:space="preserve">Warnschild </w:t>
            </w:r>
            <w:r w:rsidR="00C61687" w:rsidRPr="001C714C">
              <w:t>„</w:t>
            </w:r>
            <w:r w:rsidRPr="001C714C">
              <w:t>thermische Gefährdung</w:t>
            </w:r>
            <w:r w:rsidR="00C61687" w:rsidRPr="001C714C">
              <w:t>“</w:t>
            </w:r>
            <w:r w:rsidRPr="001C714C">
              <w:t xml:space="preserve"> aufstellen</w:t>
            </w:r>
            <w:r w:rsidR="00B03FB6" w:rsidRPr="001C714C">
              <w:t xml:space="preserve"> und </w:t>
            </w:r>
            <w:r w:rsidR="00D17A71" w:rsidRPr="001C714C">
              <w:t xml:space="preserve">auf </w:t>
            </w:r>
            <w:r w:rsidR="00B03FB6" w:rsidRPr="001C714C">
              <w:t>die Oberflächentemperaturen hinweisen</w:t>
            </w:r>
            <w:r w:rsidR="00D17A71" w:rsidRPr="001C714C">
              <w:t>.</w:t>
            </w:r>
          </w:p>
        </w:tc>
      </w:tr>
      <w:tr w:rsidR="001C714C" w:rsidRPr="001C714C" w:rsidTr="00493E31">
        <w:tc>
          <w:tcPr>
            <w:tcW w:w="3227" w:type="dxa"/>
            <w:shd w:val="clear" w:color="auto" w:fill="auto"/>
          </w:tcPr>
          <w:p w:rsidR="00116918" w:rsidRPr="001C714C" w:rsidRDefault="00116918" w:rsidP="00116918">
            <w:pPr>
              <w:spacing w:after="0" w:line="240" w:lineRule="auto"/>
            </w:pPr>
            <w:r w:rsidRPr="001C714C">
              <w:t>Durch Funkenüberschläge hervorgerufene Ozonbildung</w:t>
            </w:r>
          </w:p>
        </w:tc>
        <w:tc>
          <w:tcPr>
            <w:tcW w:w="5953" w:type="dxa"/>
            <w:shd w:val="clear" w:color="auto" w:fill="auto"/>
          </w:tcPr>
          <w:p w:rsidR="00116918" w:rsidRPr="001C714C" w:rsidRDefault="00116918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Ausreichend Abstand halten</w:t>
            </w:r>
            <w:r w:rsidR="00D17A71" w:rsidRPr="001C714C">
              <w:t>.</w:t>
            </w:r>
          </w:p>
          <w:p w:rsidR="00116918" w:rsidRPr="001C714C" w:rsidRDefault="00116918" w:rsidP="005251F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C714C">
              <w:t>Raum nach dem Betrieb durchlüften.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9648B3" w:rsidRDefault="00C67CCA" w:rsidP="009648B3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B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648B3">
        <w:rPr>
          <w:szCs w:val="20"/>
        </w:rPr>
        <w:t xml:space="preserve"> Unterrichtliche Rahmenbedingungen (</w:t>
      </w:r>
      <w:r w:rsidR="00643CEF">
        <w:rPr>
          <w:szCs w:val="20"/>
        </w:rPr>
        <w:t>Lerngruppe</w:t>
      </w:r>
      <w:r w:rsidR="009648B3">
        <w:rPr>
          <w:szCs w:val="20"/>
        </w:rPr>
        <w:t>, Unterrichtsraum,…) wurden berücksichtigt.</w:t>
      </w:r>
    </w:p>
    <w:p w:rsidR="009648B3" w:rsidRDefault="009648B3" w:rsidP="009648B3">
      <w:pPr>
        <w:spacing w:after="0" w:line="240" w:lineRule="auto"/>
      </w:pPr>
    </w:p>
    <w:p w:rsidR="00116918" w:rsidRDefault="00775BEE" w:rsidP="00090A23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C61687">
        <w:rPr>
          <w:b/>
        </w:rPr>
        <w:t xml:space="preserve"> </w:t>
      </w:r>
    </w:p>
    <w:p w:rsidR="00F7335A" w:rsidRDefault="00116918" w:rsidP="00F7335A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Energie grundsätzlich </w:t>
      </w:r>
      <w:bookmarkStart w:id="0" w:name="_GoBack"/>
      <w:bookmarkEnd w:id="0"/>
      <w:r>
        <w:t>zu beachten.</w:t>
      </w:r>
    </w:p>
    <w:sectPr w:rsidR="00F7335A" w:rsidSect="009F6A50">
      <w:head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CA" w:rsidRDefault="00C67CCA" w:rsidP="00C00502">
      <w:pPr>
        <w:spacing w:after="0" w:line="240" w:lineRule="auto"/>
      </w:pPr>
      <w:r>
        <w:separator/>
      </w:r>
    </w:p>
  </w:endnote>
  <w:endnote w:type="continuationSeparator" w:id="0">
    <w:p w:rsidR="00C67CCA" w:rsidRDefault="00C67CCA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CA" w:rsidRDefault="00C67CCA" w:rsidP="00C00502">
      <w:pPr>
        <w:spacing w:after="0" w:line="240" w:lineRule="auto"/>
      </w:pPr>
      <w:r>
        <w:separator/>
      </w:r>
    </w:p>
  </w:footnote>
  <w:footnote w:type="continuationSeparator" w:id="0">
    <w:p w:rsidR="00C67CCA" w:rsidRDefault="00C67CCA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B86CBA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199"/>
    <w:multiLevelType w:val="hybridMultilevel"/>
    <w:tmpl w:val="4D24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3434"/>
    <w:rsid w:val="00030768"/>
    <w:rsid w:val="000307DF"/>
    <w:rsid w:val="00044DC4"/>
    <w:rsid w:val="000546A7"/>
    <w:rsid w:val="00085247"/>
    <w:rsid w:val="000873A7"/>
    <w:rsid w:val="00090A23"/>
    <w:rsid w:val="000A7D6C"/>
    <w:rsid w:val="000B4785"/>
    <w:rsid w:val="000B6B40"/>
    <w:rsid w:val="000F0165"/>
    <w:rsid w:val="0011562D"/>
    <w:rsid w:val="00116918"/>
    <w:rsid w:val="00117E2D"/>
    <w:rsid w:val="00134496"/>
    <w:rsid w:val="001549DB"/>
    <w:rsid w:val="00163FCF"/>
    <w:rsid w:val="00166290"/>
    <w:rsid w:val="001A7B07"/>
    <w:rsid w:val="001B7141"/>
    <w:rsid w:val="001C714C"/>
    <w:rsid w:val="001C72C8"/>
    <w:rsid w:val="001D36E0"/>
    <w:rsid w:val="001E44E2"/>
    <w:rsid w:val="001F7600"/>
    <w:rsid w:val="002865C7"/>
    <w:rsid w:val="002A41B1"/>
    <w:rsid w:val="002B48A2"/>
    <w:rsid w:val="002D17B1"/>
    <w:rsid w:val="002E0716"/>
    <w:rsid w:val="002E47A1"/>
    <w:rsid w:val="002E5BD9"/>
    <w:rsid w:val="003208CC"/>
    <w:rsid w:val="003222AF"/>
    <w:rsid w:val="003573FE"/>
    <w:rsid w:val="00371B40"/>
    <w:rsid w:val="003736F8"/>
    <w:rsid w:val="0037425C"/>
    <w:rsid w:val="003A2FEF"/>
    <w:rsid w:val="003D28C6"/>
    <w:rsid w:val="003F3096"/>
    <w:rsid w:val="00413392"/>
    <w:rsid w:val="00427D11"/>
    <w:rsid w:val="00456368"/>
    <w:rsid w:val="00472E27"/>
    <w:rsid w:val="00486BC1"/>
    <w:rsid w:val="0049029B"/>
    <w:rsid w:val="00493E31"/>
    <w:rsid w:val="00496D36"/>
    <w:rsid w:val="004E0660"/>
    <w:rsid w:val="004E3036"/>
    <w:rsid w:val="00501972"/>
    <w:rsid w:val="00520EE0"/>
    <w:rsid w:val="005251F0"/>
    <w:rsid w:val="005267D3"/>
    <w:rsid w:val="005543DD"/>
    <w:rsid w:val="00555DEF"/>
    <w:rsid w:val="005615DF"/>
    <w:rsid w:val="005773F9"/>
    <w:rsid w:val="005A4972"/>
    <w:rsid w:val="005D182C"/>
    <w:rsid w:val="0060304A"/>
    <w:rsid w:val="00617967"/>
    <w:rsid w:val="00624D7A"/>
    <w:rsid w:val="00635606"/>
    <w:rsid w:val="00643CEF"/>
    <w:rsid w:val="006442C3"/>
    <w:rsid w:val="00651525"/>
    <w:rsid w:val="0065474D"/>
    <w:rsid w:val="0066409C"/>
    <w:rsid w:val="0067188A"/>
    <w:rsid w:val="006B76DF"/>
    <w:rsid w:val="006E0775"/>
    <w:rsid w:val="006E07BD"/>
    <w:rsid w:val="006E20FE"/>
    <w:rsid w:val="00721674"/>
    <w:rsid w:val="007261C8"/>
    <w:rsid w:val="007318EF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D7736"/>
    <w:rsid w:val="007E5FEE"/>
    <w:rsid w:val="007E79F1"/>
    <w:rsid w:val="007F76A6"/>
    <w:rsid w:val="00805F94"/>
    <w:rsid w:val="00812FF0"/>
    <w:rsid w:val="008226B4"/>
    <w:rsid w:val="008262FE"/>
    <w:rsid w:val="00833D6A"/>
    <w:rsid w:val="0083599D"/>
    <w:rsid w:val="00843C1E"/>
    <w:rsid w:val="00896D23"/>
    <w:rsid w:val="008C7436"/>
    <w:rsid w:val="008D609B"/>
    <w:rsid w:val="008F3EA4"/>
    <w:rsid w:val="008F51D9"/>
    <w:rsid w:val="008F7253"/>
    <w:rsid w:val="008F7E88"/>
    <w:rsid w:val="009067E6"/>
    <w:rsid w:val="00913C6D"/>
    <w:rsid w:val="009246E2"/>
    <w:rsid w:val="00925120"/>
    <w:rsid w:val="00927324"/>
    <w:rsid w:val="00931D2F"/>
    <w:rsid w:val="00937736"/>
    <w:rsid w:val="009648B3"/>
    <w:rsid w:val="00970010"/>
    <w:rsid w:val="00980752"/>
    <w:rsid w:val="009854BD"/>
    <w:rsid w:val="00994DA8"/>
    <w:rsid w:val="009A6BFC"/>
    <w:rsid w:val="009F6A50"/>
    <w:rsid w:val="00A113E6"/>
    <w:rsid w:val="00A2556B"/>
    <w:rsid w:val="00A675A5"/>
    <w:rsid w:val="00A830A0"/>
    <w:rsid w:val="00A93ECC"/>
    <w:rsid w:val="00AA6CFD"/>
    <w:rsid w:val="00AB1571"/>
    <w:rsid w:val="00AC3FEB"/>
    <w:rsid w:val="00B03FB6"/>
    <w:rsid w:val="00B27E5B"/>
    <w:rsid w:val="00B303D2"/>
    <w:rsid w:val="00B41A45"/>
    <w:rsid w:val="00B775DD"/>
    <w:rsid w:val="00B84BE0"/>
    <w:rsid w:val="00B86CBA"/>
    <w:rsid w:val="00BA32C0"/>
    <w:rsid w:val="00BB3F7A"/>
    <w:rsid w:val="00BC6D31"/>
    <w:rsid w:val="00BF44E0"/>
    <w:rsid w:val="00C00502"/>
    <w:rsid w:val="00C0191A"/>
    <w:rsid w:val="00C163AF"/>
    <w:rsid w:val="00C31BC7"/>
    <w:rsid w:val="00C31D67"/>
    <w:rsid w:val="00C53AB7"/>
    <w:rsid w:val="00C61687"/>
    <w:rsid w:val="00C67CCA"/>
    <w:rsid w:val="00C7642E"/>
    <w:rsid w:val="00C76C9E"/>
    <w:rsid w:val="00C8478F"/>
    <w:rsid w:val="00CB3127"/>
    <w:rsid w:val="00CC670C"/>
    <w:rsid w:val="00CC73B5"/>
    <w:rsid w:val="00CC787F"/>
    <w:rsid w:val="00CD0680"/>
    <w:rsid w:val="00D143F0"/>
    <w:rsid w:val="00D17A71"/>
    <w:rsid w:val="00D20582"/>
    <w:rsid w:val="00D42C97"/>
    <w:rsid w:val="00D53F75"/>
    <w:rsid w:val="00D8025D"/>
    <w:rsid w:val="00DA7947"/>
    <w:rsid w:val="00DC13A1"/>
    <w:rsid w:val="00DC5838"/>
    <w:rsid w:val="00DD68FE"/>
    <w:rsid w:val="00DE0FEA"/>
    <w:rsid w:val="00E2456C"/>
    <w:rsid w:val="00E43A62"/>
    <w:rsid w:val="00E55B85"/>
    <w:rsid w:val="00E75C10"/>
    <w:rsid w:val="00EE74C5"/>
    <w:rsid w:val="00EF3602"/>
    <w:rsid w:val="00F02E39"/>
    <w:rsid w:val="00F23079"/>
    <w:rsid w:val="00F52653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7217-C41F-4A97-9AA4-6672C09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16</cp:revision>
  <dcterms:created xsi:type="dcterms:W3CDTF">2018-07-30T15:11:00Z</dcterms:created>
  <dcterms:modified xsi:type="dcterms:W3CDTF">2019-02-13T11:17:00Z</dcterms:modified>
</cp:coreProperties>
</file>