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E0D09" w:rsidRPr="00493E31" w14:paraId="5D2171E0" w14:textId="77777777" w:rsidTr="00C77287">
        <w:tc>
          <w:tcPr>
            <w:tcW w:w="9071" w:type="dxa"/>
            <w:shd w:val="clear" w:color="auto" w:fill="auto"/>
            <w:vAlign w:val="center"/>
          </w:tcPr>
          <w:p w14:paraId="5D2171DF" w14:textId="77777777" w:rsidR="009E0D09" w:rsidRPr="00493E31" w:rsidRDefault="009E0D09" w:rsidP="009E0D09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 2: Optische Phänomene an Grenzflächen – Licht im Basiskonzept Wechselwirkung</w:t>
            </w:r>
          </w:p>
        </w:tc>
      </w:tr>
    </w:tbl>
    <w:p w14:paraId="5D2171E2" w14:textId="7F601F3B" w:rsidR="008A3CC6" w:rsidRDefault="006674CF" w:rsidP="008A3CC6">
      <w:r>
        <w:br/>
      </w:r>
      <w:r w:rsidR="008A3CC6">
        <w:t xml:space="preserve">Die meisten Gefährdungen in diesem Themenfeld ergeben sich aus den verwendeten Lichtquellen (vgl. RiSU II-4.3). Hier sind insbesondere Lichtquellen mit UV-Anteil und LASER zu betrachten. Bei der Verwendung von handelsüblichen Leuchtmitteln wie Halogenlampen mit </w:t>
      </w:r>
      <w:r w:rsidR="008A3CC6" w:rsidRPr="008A3CC6">
        <w:rPr>
          <w:b/>
        </w:rPr>
        <w:t>Normalglas</w:t>
      </w:r>
      <w:r w:rsidR="008A3CC6">
        <w:t xml:space="preserve">abdeckung, Glühbirnchen, LED-Lampen (Klasse 0 und 1) besteht keine große Gefährdung für die Augen, wenn ein absichtliches Hineinschauen in die Lichtquellen vermieden wird (vgl. RiSU II-4.3.2.2). Bei der allgemeinen Einweisung in Schülerexperimente empfiehlt sich das Nichthineinblicken </w:t>
      </w:r>
      <w:r w:rsidR="00B72B0E">
        <w:t>in den Strahlengang zu betonen.</w:t>
      </w:r>
    </w:p>
    <w:p w14:paraId="5D2171E4" w14:textId="0C07293F" w:rsidR="008B2FD8" w:rsidRDefault="00B72B0E" w:rsidP="00C32334">
      <w:r>
        <w:t>Die optischen Experimente in der Mittelstufe benötigen in der Regel keine besonderen Lampen (z.B. Spektrallampe,…</w:t>
      </w:r>
      <w:r w:rsidR="009042C6">
        <w:t>). Auf deren Einsatz wurde bewuss</w:t>
      </w:r>
      <w:r>
        <w:t>t hier verzichtet. Weitere Hinweise finden sich bei den Gefährdungsbeurteilungen der Oberstufe.</w:t>
      </w:r>
    </w:p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04C67" w:rsidRPr="008A3CC6" w14:paraId="5D2171E7" w14:textId="77777777" w:rsidTr="009E0D09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14:paraId="5D2171E5" w14:textId="77777777" w:rsidR="00A04C67" w:rsidRPr="00AA126E" w:rsidRDefault="00A04C67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14:paraId="5D2171E6" w14:textId="77777777" w:rsidR="00A04C67" w:rsidRPr="00F436A4" w:rsidRDefault="00A04C67" w:rsidP="008762B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436A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A04C67" w:rsidRPr="008A3CC6" w14:paraId="5D2171EA" w14:textId="77777777" w:rsidTr="009E0D09">
        <w:trPr>
          <w:cantSplit/>
          <w:trHeight w:val="397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14:paraId="5D2171E8" w14:textId="77777777" w:rsidR="00A04C67" w:rsidRPr="00AA126E" w:rsidRDefault="009F5682" w:rsidP="006E7E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Handreichung TF </w:t>
            </w:r>
            <w:r w:rsidR="00A04C67"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</w:t>
            </w:r>
            <w:r w:rsidR="00A04C67" w:rsidRPr="00AA126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E9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Zaubertrick 'Der Bär in der Dose' mit handelsüblichen Taschenlampen</w:t>
            </w:r>
          </w:p>
        </w:tc>
      </w:tr>
      <w:tr w:rsidR="00A04C67" w:rsidRPr="008A3CC6" w14:paraId="5D2171ED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1EB" w14:textId="77777777" w:rsidR="00A04C67" w:rsidRPr="00AA126E" w:rsidRDefault="00A04C67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EC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Kerze unter Wasser</w:t>
            </w:r>
          </w:p>
        </w:tc>
      </w:tr>
      <w:tr w:rsidR="00A04C67" w:rsidRPr="008A3CC6" w14:paraId="5D2171F0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1EE" w14:textId="77777777" w:rsidR="00A04C67" w:rsidRPr="00AA126E" w:rsidRDefault="00A04C67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EF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Wundersame Geldvermehrung</w:t>
            </w:r>
          </w:p>
        </w:tc>
      </w:tr>
      <w:tr w:rsidR="00A04C67" w:rsidRPr="008A3CC6" w14:paraId="5D2171F3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1F1" w14:textId="77777777" w:rsidR="00A04C67" w:rsidRPr="00AA126E" w:rsidRDefault="00A04C67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F2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Fische jagen</w:t>
            </w:r>
          </w:p>
        </w:tc>
      </w:tr>
      <w:tr w:rsidR="00A04C67" w:rsidRPr="008A3CC6" w14:paraId="5D2171F6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1F4" w14:textId="77777777" w:rsidR="00A04C67" w:rsidRPr="00AA126E" w:rsidRDefault="00A04C67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F5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Unsichtbare Münze</w:t>
            </w:r>
          </w:p>
        </w:tc>
      </w:tr>
      <w:tr w:rsidR="00A04C67" w:rsidRPr="008A3CC6" w14:paraId="5D2171F9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1F7" w14:textId="77777777" w:rsidR="00A04C67" w:rsidRPr="00AA126E" w:rsidRDefault="00A04C67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F8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Das verzaubertes T-Shirt mit handelsüblichen Taschenlampen</w:t>
            </w:r>
          </w:p>
        </w:tc>
      </w:tr>
      <w:tr w:rsidR="00F82A1E" w:rsidRPr="008A3CC6" w14:paraId="5D2171FC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1FA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FB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Absorption mit Milch in Wasser und handelsüblicher Taschenlampe</w:t>
            </w:r>
          </w:p>
        </w:tc>
      </w:tr>
      <w:tr w:rsidR="00F82A1E" w:rsidRPr="008A3CC6" w14:paraId="5D2171FF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1FD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1FE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Absorption mit Gefäß auf Tageslichtprojektor</w:t>
            </w:r>
          </w:p>
        </w:tc>
      </w:tr>
      <w:tr w:rsidR="00F82A1E" w:rsidRPr="008A3CC6" w14:paraId="5D217202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00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01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Absorption mit Gummibärchen und bunten LED Betzold</w:t>
            </w:r>
          </w:p>
        </w:tc>
      </w:tr>
      <w:tr w:rsidR="00F82A1E" w:rsidRPr="008A3CC6" w14:paraId="5D217205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03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04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Reflexion mit Spiegelfliese</w:t>
            </w:r>
          </w:p>
        </w:tc>
      </w:tr>
      <w:tr w:rsidR="00F82A1E" w:rsidRPr="008A3CC6" w14:paraId="5D217208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06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07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Brechung am Halbkreiskörper mit Schülerübungsmaterial</w:t>
            </w:r>
          </w:p>
        </w:tc>
      </w:tr>
      <w:tr w:rsidR="00F82A1E" w:rsidRPr="008A3CC6" w14:paraId="5D21720B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09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0A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Bau/Verwendung: Schwebende Jungfrau mit handelsüblicher Taschenlampe</w:t>
            </w:r>
          </w:p>
        </w:tc>
      </w:tr>
      <w:tr w:rsidR="00F82A1E" w:rsidRPr="008A3CC6" w14:paraId="5D21720E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0C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0D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Reflexion an Spiegel mit Schülerübung</w:t>
            </w:r>
          </w:p>
        </w:tc>
      </w:tr>
      <w:tr w:rsidR="00F82A1E" w:rsidRPr="008A3CC6" w14:paraId="5D217211" w14:textId="77777777" w:rsidTr="009E0D09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noWrap/>
            <w:textDirection w:val="tbRl"/>
            <w:hideMark/>
          </w:tcPr>
          <w:p w14:paraId="5D21720F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10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Totalreflexion mit Schülerübungen und Halbkreiskörper</w:t>
            </w:r>
          </w:p>
        </w:tc>
      </w:tr>
      <w:tr w:rsidR="00F82A1E" w:rsidRPr="008A3CC6" w14:paraId="5D217214" w14:textId="77777777" w:rsidTr="009E0D09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noWrap/>
            <w:textDirection w:val="tbRl"/>
            <w:hideMark/>
          </w:tcPr>
          <w:p w14:paraId="5D217212" w14:textId="77777777" w:rsidR="00F82A1E" w:rsidRPr="00AA126E" w:rsidRDefault="00F82A1E" w:rsidP="008762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13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Lernaufgabe zu 'Liter of Light' (Lichtquelle: handelsübliche Taschenlampe)</w:t>
            </w:r>
          </w:p>
        </w:tc>
      </w:tr>
      <w:tr w:rsidR="00F82A1E" w:rsidRPr="008A3CC6" w14:paraId="5D217217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15" w14:textId="77777777" w:rsidR="00F82A1E" w:rsidRPr="00AA126E" w:rsidRDefault="00F82A1E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16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Lichtweg durch Sammellinse an der Hafttafel (Lampe ohne austretenden UV-Anteil)</w:t>
            </w:r>
          </w:p>
        </w:tc>
      </w:tr>
      <w:tr w:rsidR="00F82A1E" w:rsidRPr="008A3CC6" w14:paraId="5D21721A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18" w14:textId="77777777" w:rsidR="00F82A1E" w:rsidRPr="00AA126E" w:rsidRDefault="00F82A1E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19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Lichtweg durch Sammellinse an der Hafttafel (Lampe ohne austretenden UV-Anteil)</w:t>
            </w:r>
          </w:p>
        </w:tc>
      </w:tr>
      <w:tr w:rsidR="00F82A1E" w:rsidRPr="008A3CC6" w14:paraId="5D21721D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1B" w14:textId="77777777" w:rsidR="00F82A1E" w:rsidRPr="00AA126E" w:rsidRDefault="00F82A1E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1C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Spektrum</w:t>
            </w:r>
            <w:r>
              <w:rPr>
                <w:color w:val="000000"/>
                <w:sz w:val="24"/>
                <w:szCs w:val="24"/>
              </w:rPr>
              <w:t>-E</w:t>
            </w:r>
            <w:r w:rsidRPr="00FF73F1">
              <w:rPr>
                <w:color w:val="000000"/>
                <w:sz w:val="24"/>
                <w:szCs w:val="24"/>
              </w:rPr>
              <w:t>rzeugung mit Prisma und Tageslichtprojektor</w:t>
            </w:r>
          </w:p>
        </w:tc>
      </w:tr>
      <w:tr w:rsidR="00F82A1E" w:rsidRPr="008A3CC6" w14:paraId="5D217220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  <w:hideMark/>
          </w:tcPr>
          <w:p w14:paraId="5D21721E" w14:textId="77777777" w:rsidR="00F82A1E" w:rsidRPr="00AA126E" w:rsidRDefault="00F82A1E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D21721F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Gerät zur additiven Farbmischung mit Tageslichtprojektor</w:t>
            </w:r>
          </w:p>
        </w:tc>
      </w:tr>
      <w:tr w:rsidR="00F82A1E" w:rsidRPr="008A3CC6" w14:paraId="5D217223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5D217221" w14:textId="77777777" w:rsidR="00F82A1E" w:rsidRPr="008A3CC6" w:rsidRDefault="00F82A1E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22" w14:textId="77777777" w:rsidR="00F82A1E" w:rsidRPr="00FF73F1" w:rsidRDefault="00F436A4" w:rsidP="004716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Totalreflexion aus Wassertrog heraus (Lampe ohne austretenden UV-Anteil)</w:t>
            </w:r>
          </w:p>
        </w:tc>
      </w:tr>
      <w:tr w:rsidR="00F436A4" w:rsidRPr="008A3CC6" w14:paraId="5D217226" w14:textId="77777777" w:rsidTr="009E0D09"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5D217224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25" w14:textId="77777777" w:rsidR="00F436A4" w:rsidRPr="00FF73F1" w:rsidRDefault="00F436A4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Schattenrissportrait mit dem Tageslichtprojektor</w:t>
            </w:r>
          </w:p>
        </w:tc>
      </w:tr>
      <w:tr w:rsidR="00F436A4" w:rsidRPr="008A3CC6" w14:paraId="5D21722C" w14:textId="77777777" w:rsidTr="009E0D09">
        <w:trPr>
          <w:cantSplit/>
          <w:trHeight w:val="340"/>
        </w:trPr>
        <w:tc>
          <w:tcPr>
            <w:tcW w:w="567" w:type="dxa"/>
            <w:vMerge w:val="restart"/>
            <w:textDirection w:val="tbRl"/>
            <w:vAlign w:val="center"/>
          </w:tcPr>
          <w:p w14:paraId="5D21722A" w14:textId="77777777" w:rsidR="00F436A4" w:rsidRPr="009F5682" w:rsidRDefault="00F436A4" w:rsidP="009F568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weitere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2B" w14:textId="77777777" w:rsidR="00F436A4" w:rsidRPr="00FF73F1" w:rsidRDefault="00F436A4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436A4" w:rsidRPr="008A3CC6" w14:paraId="5D21722F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2D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2E" w14:textId="77777777" w:rsidR="00F436A4" w:rsidRPr="00FF73F1" w:rsidRDefault="00F436A4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32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30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31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35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33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34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38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36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37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3B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39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3A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3E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3C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3D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41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3F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40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44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42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43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47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45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46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436A4" w:rsidRPr="008A3CC6" w14:paraId="5D21724A" w14:textId="77777777" w:rsidTr="009E0D09">
        <w:trPr>
          <w:cantSplit/>
          <w:trHeight w:val="340"/>
        </w:trPr>
        <w:tc>
          <w:tcPr>
            <w:tcW w:w="567" w:type="dxa"/>
            <w:vMerge/>
            <w:vAlign w:val="center"/>
          </w:tcPr>
          <w:p w14:paraId="5D217248" w14:textId="77777777" w:rsidR="00F436A4" w:rsidRPr="008A3CC6" w:rsidRDefault="00F436A4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5D217249" w14:textId="77777777" w:rsidR="00F436A4" w:rsidRPr="00FF73F1" w:rsidRDefault="00F436A4" w:rsidP="008762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D21724B" w14:textId="77777777" w:rsidR="009E7A80" w:rsidRDefault="009E7A80" w:rsidP="008B2FD8">
      <w:pPr>
        <w:spacing w:after="0" w:line="240" w:lineRule="auto"/>
      </w:pPr>
    </w:p>
    <w:sectPr w:rsidR="009E7A80" w:rsidSect="00650EC3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73FE" w14:textId="77777777" w:rsidR="00890A0C" w:rsidRDefault="00890A0C" w:rsidP="00C00502">
      <w:pPr>
        <w:spacing w:after="0" w:line="240" w:lineRule="auto"/>
      </w:pPr>
      <w:r>
        <w:separator/>
      </w:r>
    </w:p>
  </w:endnote>
  <w:endnote w:type="continuationSeparator" w:id="0">
    <w:p w14:paraId="5D2173FF" w14:textId="77777777" w:rsidR="00890A0C" w:rsidRDefault="00890A0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73FC" w14:textId="77777777" w:rsidR="00890A0C" w:rsidRDefault="00890A0C" w:rsidP="00C00502">
      <w:pPr>
        <w:spacing w:after="0" w:line="240" w:lineRule="auto"/>
      </w:pPr>
      <w:r>
        <w:separator/>
      </w:r>
    </w:p>
  </w:footnote>
  <w:footnote w:type="continuationSeparator" w:id="0">
    <w:p w14:paraId="5D2173FD" w14:textId="77777777" w:rsidR="00890A0C" w:rsidRDefault="00890A0C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7400" w14:textId="77777777" w:rsidR="00FF1C46" w:rsidRDefault="00A22642" w:rsidP="00493E31">
    <w:pPr>
      <w:pStyle w:val="Kopfzeile"/>
      <w:tabs>
        <w:tab w:val="clear" w:pos="4536"/>
      </w:tabs>
    </w:pPr>
    <w:r>
      <w:t>Physik-Versuche mit geringer Gefährdung</w:t>
    </w:r>
    <w:r w:rsidR="00FF1C46">
      <w:tab/>
    </w:r>
    <w:r w:rsidR="00FF1C46">
      <w:rPr>
        <w:noProof/>
      </w:rPr>
      <w:drawing>
        <wp:inline distT="0" distB="0" distL="0" distR="0" wp14:anchorId="5D217401" wp14:editId="5D217402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C4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1163291">
    <w:abstractNumId w:val="2"/>
  </w:num>
  <w:num w:numId="2" w16cid:durableId="2084527600">
    <w:abstractNumId w:val="1"/>
  </w:num>
  <w:num w:numId="3" w16cid:durableId="600726269">
    <w:abstractNumId w:val="5"/>
  </w:num>
  <w:num w:numId="4" w16cid:durableId="167521236">
    <w:abstractNumId w:val="3"/>
  </w:num>
  <w:num w:numId="5" w16cid:durableId="717901533">
    <w:abstractNumId w:val="4"/>
  </w:num>
  <w:num w:numId="6" w16cid:durableId="86529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5A"/>
    <w:rsid w:val="00023158"/>
    <w:rsid w:val="0002741B"/>
    <w:rsid w:val="00030768"/>
    <w:rsid w:val="000307DF"/>
    <w:rsid w:val="00044DC4"/>
    <w:rsid w:val="0005543A"/>
    <w:rsid w:val="00085247"/>
    <w:rsid w:val="000873A7"/>
    <w:rsid w:val="000A540B"/>
    <w:rsid w:val="000A7D6C"/>
    <w:rsid w:val="000B4785"/>
    <w:rsid w:val="000B6B40"/>
    <w:rsid w:val="000F0165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574C8"/>
    <w:rsid w:val="00265532"/>
    <w:rsid w:val="00276A12"/>
    <w:rsid w:val="002865C7"/>
    <w:rsid w:val="002B5DA6"/>
    <w:rsid w:val="002D3C0E"/>
    <w:rsid w:val="002E0716"/>
    <w:rsid w:val="002F2255"/>
    <w:rsid w:val="003208CC"/>
    <w:rsid w:val="00327679"/>
    <w:rsid w:val="00332852"/>
    <w:rsid w:val="00345EDF"/>
    <w:rsid w:val="00371B40"/>
    <w:rsid w:val="003736F8"/>
    <w:rsid w:val="00387444"/>
    <w:rsid w:val="00394858"/>
    <w:rsid w:val="003A702C"/>
    <w:rsid w:val="003D28C6"/>
    <w:rsid w:val="003E036D"/>
    <w:rsid w:val="003E303B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6E83"/>
    <w:rsid w:val="005A720D"/>
    <w:rsid w:val="005C4BF0"/>
    <w:rsid w:val="005C699B"/>
    <w:rsid w:val="005D182C"/>
    <w:rsid w:val="005E067C"/>
    <w:rsid w:val="00613062"/>
    <w:rsid w:val="00617967"/>
    <w:rsid w:val="00624D7A"/>
    <w:rsid w:val="00636D62"/>
    <w:rsid w:val="006442C3"/>
    <w:rsid w:val="00650EC3"/>
    <w:rsid w:val="0066409C"/>
    <w:rsid w:val="006674CF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79F1"/>
    <w:rsid w:val="007F5EBF"/>
    <w:rsid w:val="00805F94"/>
    <w:rsid w:val="00812FF0"/>
    <w:rsid w:val="008262FE"/>
    <w:rsid w:val="00833D6A"/>
    <w:rsid w:val="00843C1E"/>
    <w:rsid w:val="00845FAA"/>
    <w:rsid w:val="008644F9"/>
    <w:rsid w:val="008762BC"/>
    <w:rsid w:val="00890A0C"/>
    <w:rsid w:val="00896D23"/>
    <w:rsid w:val="008A3CC6"/>
    <w:rsid w:val="008B2FD8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80432"/>
    <w:rsid w:val="009918B1"/>
    <w:rsid w:val="009921FC"/>
    <w:rsid w:val="009B1859"/>
    <w:rsid w:val="009D020D"/>
    <w:rsid w:val="009E0D09"/>
    <w:rsid w:val="009E7A80"/>
    <w:rsid w:val="009F0093"/>
    <w:rsid w:val="009F5682"/>
    <w:rsid w:val="00A03074"/>
    <w:rsid w:val="00A04C67"/>
    <w:rsid w:val="00A113E6"/>
    <w:rsid w:val="00A22642"/>
    <w:rsid w:val="00A2556B"/>
    <w:rsid w:val="00A675A5"/>
    <w:rsid w:val="00A75FE5"/>
    <w:rsid w:val="00A81D8F"/>
    <w:rsid w:val="00A83DD1"/>
    <w:rsid w:val="00A93ECC"/>
    <w:rsid w:val="00AA126E"/>
    <w:rsid w:val="00AB1571"/>
    <w:rsid w:val="00AC3FEB"/>
    <w:rsid w:val="00B0027E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C00502"/>
    <w:rsid w:val="00C016C7"/>
    <w:rsid w:val="00C0191A"/>
    <w:rsid w:val="00C163AF"/>
    <w:rsid w:val="00C31D67"/>
    <w:rsid w:val="00C32334"/>
    <w:rsid w:val="00C74D16"/>
    <w:rsid w:val="00C7642E"/>
    <w:rsid w:val="00C76C9E"/>
    <w:rsid w:val="00C8478F"/>
    <w:rsid w:val="00C86C99"/>
    <w:rsid w:val="00CB3127"/>
    <w:rsid w:val="00CC73B5"/>
    <w:rsid w:val="00CC787F"/>
    <w:rsid w:val="00CE7F40"/>
    <w:rsid w:val="00D143F0"/>
    <w:rsid w:val="00D45A4A"/>
    <w:rsid w:val="00D47764"/>
    <w:rsid w:val="00D53F75"/>
    <w:rsid w:val="00D62746"/>
    <w:rsid w:val="00D8025D"/>
    <w:rsid w:val="00D822D3"/>
    <w:rsid w:val="00DC3163"/>
    <w:rsid w:val="00DC5838"/>
    <w:rsid w:val="00DD6FD5"/>
    <w:rsid w:val="00DF5236"/>
    <w:rsid w:val="00E06420"/>
    <w:rsid w:val="00E2456C"/>
    <w:rsid w:val="00E331DF"/>
    <w:rsid w:val="00E644E1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707F5"/>
    <w:rsid w:val="00F7335A"/>
    <w:rsid w:val="00F82A1E"/>
    <w:rsid w:val="00F84373"/>
    <w:rsid w:val="00F97927"/>
    <w:rsid w:val="00F9794F"/>
    <w:rsid w:val="00FA299D"/>
    <w:rsid w:val="00FA3BD4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7191"/>
  <w15:docId w15:val="{19572872-507A-4ED2-BBF1-994A43B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D72C-E728-4B5B-B6D6-566CB15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Marcus Andre</cp:lastModifiedBy>
  <cp:revision>7</cp:revision>
  <cp:lastPrinted>2018-05-23T12:29:00Z</cp:lastPrinted>
  <dcterms:created xsi:type="dcterms:W3CDTF">2019-05-24T09:53:00Z</dcterms:created>
  <dcterms:modified xsi:type="dcterms:W3CDTF">2023-02-16T14:13:00Z</dcterms:modified>
</cp:coreProperties>
</file>