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550DB2" w:rsidP="00550DB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Schmelzsicherung im Modellexperiment zur Schaltung einer Waschmaschine im Haushalt mit/ohne Schutzschalter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C5370F" w:rsidP="00F7335A">
      <w:pPr>
        <w:spacing w:after="0" w:line="240" w:lineRule="auto"/>
      </w:pPr>
      <w:sdt>
        <w:sdtPr>
          <w:id w:val="-2561379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37A0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Lehrerversuch</w:t>
      </w:r>
      <w:r w:rsidR="00F7335A">
        <w:tab/>
      </w:r>
      <w:sdt>
        <w:sdtPr>
          <w:id w:val="214299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sdt>
        <w:sdtPr>
          <w:id w:val="172301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F7335A" w:rsidRDefault="00790D58" w:rsidP="00260D3B">
      <w:pPr>
        <w:spacing w:after="120" w:line="240" w:lineRule="auto"/>
        <w:rPr>
          <w:b/>
        </w:rPr>
      </w:pPr>
      <w:r>
        <w:rPr>
          <w:b/>
        </w:rPr>
        <w:t>Aussagekräftige</w:t>
      </w:r>
      <w:r w:rsidR="003F3096">
        <w:rPr>
          <w:b/>
        </w:rPr>
        <w:t xml:space="preserve"> Beschreibung </w:t>
      </w:r>
      <w:r w:rsidR="00627E47">
        <w:rPr>
          <w:b/>
        </w:rPr>
        <w:t xml:space="preserve">(z. B. Text, Bild, </w:t>
      </w:r>
      <w:r w:rsidR="002F3620">
        <w:rPr>
          <w:b/>
        </w:rPr>
        <w:t xml:space="preserve">Skizze) </w:t>
      </w:r>
      <w:r w:rsidR="003F3096">
        <w:rPr>
          <w:b/>
        </w:rPr>
        <w:t>des Versuchs</w:t>
      </w:r>
      <w:r w:rsidR="00627E47">
        <w:rPr>
          <w:b/>
        </w:rPr>
        <w:t>: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50DB2" w:rsidTr="008853E1">
        <w:trPr>
          <w:cantSplit/>
          <w:trHeight w:val="11639"/>
        </w:trPr>
        <w:tc>
          <w:tcPr>
            <w:tcW w:w="9180" w:type="dxa"/>
          </w:tcPr>
          <w:p w:rsidR="005B593A" w:rsidRDefault="003663BB" w:rsidP="003663BB">
            <w:pPr>
              <w:spacing w:after="12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952500" y="288607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210050" cy="3517265"/>
                  <wp:effectExtent l="0" t="0" r="0" b="6985"/>
                  <wp:wrapSquare wrapText="bothSides"/>
                  <wp:docPr id="2" name="Grafik 2" descr="C:\Users\Monika Nikolaus\Desktop\Bilder Schmelzsicherung\20190613_144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ika Nikolaus\Desktop\Bilder Schmelzsicherung\20190613_1441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8" r="5604" b="2052"/>
                          <a:stretch/>
                        </pic:blipFill>
                        <pic:spPr bwMode="auto">
                          <a:xfrm>
                            <a:off x="0" y="0"/>
                            <a:ext cx="4219809" cy="352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0DB2">
              <w:t>Bei diesem Modell</w:t>
            </w:r>
            <w:r>
              <w:t>-</w:t>
            </w:r>
            <w:r w:rsidR="00550DB2">
              <w:t>experiment soll die Wirkungsweise der Schmelzsicherung bei vorhandenem Schutz</w:t>
            </w:r>
            <w:r>
              <w:t>-</w:t>
            </w:r>
            <w:r w:rsidR="00550DB2">
              <w:t xml:space="preserve">leiter </w:t>
            </w:r>
            <w:r w:rsidR="005B593A">
              <w:t>(hier grün-gelb, Potential 0</w:t>
            </w:r>
            <w:r w:rsidR="004C178F">
              <w:t xml:space="preserve"> Volt</w:t>
            </w:r>
            <w:r w:rsidR="005B593A">
              <w:t xml:space="preserve">) </w:t>
            </w:r>
            <w:r w:rsidR="00550DB2">
              <w:t>gezeigt werden. Dazu wurde das Gehäuse</w:t>
            </w:r>
            <w:r w:rsidR="004C178F">
              <w:t xml:space="preserve"> der Wasch</w:t>
            </w:r>
            <w:r w:rsidR="004C178F">
              <w:softHyphen/>
              <w:t xml:space="preserve">maschine </w:t>
            </w:r>
            <w:r w:rsidR="008853E1">
              <w:t>(hier grau dargestellt) mit</w:t>
            </w:r>
            <w:r w:rsidR="00550DB2">
              <w:t xml:space="preserve"> dem Mensch</w:t>
            </w:r>
            <w:r w:rsidR="008853E1">
              <w:t>en</w:t>
            </w:r>
            <w:r w:rsidR="00550DB2">
              <w:t xml:space="preserve"> </w:t>
            </w:r>
            <w:r>
              <w:t xml:space="preserve">(hier lila dargestellt) </w:t>
            </w:r>
            <w:r w:rsidR="00550DB2">
              <w:t>verbunden</w:t>
            </w:r>
            <w:r w:rsidR="005B593A">
              <w:t>, der auf der Erde (Potential 0</w:t>
            </w:r>
            <w:r w:rsidR="004C178F">
              <w:t xml:space="preserve"> Volt</w:t>
            </w:r>
            <w:r w:rsidR="005B593A">
              <w:t>) steht. Die Schm</w:t>
            </w:r>
            <w:r w:rsidR="00D459F4">
              <w:t>elz</w:t>
            </w:r>
            <w:r>
              <w:t>-</w:t>
            </w:r>
            <w:r w:rsidR="00D459F4">
              <w:t xml:space="preserve">sicherung </w:t>
            </w:r>
            <w:r w:rsidR="00D459F4" w:rsidRPr="00F352E7">
              <w:t>(Eisendraht 0,2mm Durchmesser</w:t>
            </w:r>
            <w:r w:rsidR="005B593A">
              <w:t>) wird im Außenleiter in Reihe geschaltet.</w:t>
            </w:r>
          </w:p>
          <w:p w:rsidR="003663BB" w:rsidRDefault="003663BB" w:rsidP="003663BB">
            <w:pPr>
              <w:spacing w:after="120" w:line="240" w:lineRule="auto"/>
            </w:pPr>
          </w:p>
          <w:p w:rsidR="005B593A" w:rsidRDefault="005B593A" w:rsidP="005B593A">
            <w:pPr>
              <w:pStyle w:val="Listenabsatz"/>
              <w:numPr>
                <w:ilvl w:val="0"/>
                <w:numId w:val="3"/>
              </w:numPr>
              <w:spacing w:after="120" w:line="240" w:lineRule="auto"/>
            </w:pPr>
            <w:r>
              <w:t xml:space="preserve">Wenn die Waschmaschine einen Isolationsschaden gegen das Gehäuse hat (hier zusätzliches rotes Kabel </w:t>
            </w:r>
            <w:r w:rsidR="004C178F">
              <w:t xml:space="preserve">vom Waschmaschinenmotor </w:t>
            </w:r>
            <w:r>
              <w:t>auf</w:t>
            </w:r>
            <w:r w:rsidR="00D459F4">
              <w:t>s</w:t>
            </w:r>
            <w:r>
              <w:t xml:space="preserve"> Gehäuse)</w:t>
            </w:r>
            <w:r w:rsidR="00810F95">
              <w:t xml:space="preserve"> und einen Schutzleiter besitzt (hier grün-gelb)</w:t>
            </w:r>
            <w:r>
              <w:t xml:space="preserve">, dann fließt der größte Teil des Stroms über den Schutzleiter ab. ‚Menschenlampe‘ und ‚Waschmaschinenlampe‘ </w:t>
            </w:r>
            <w:r w:rsidR="00D459F4">
              <w:t xml:space="preserve">(4,8V und 0,5A) </w:t>
            </w:r>
            <w:r>
              <w:t>leuchten nicht.</w:t>
            </w:r>
            <w:r w:rsidR="00D459F4">
              <w:t xml:space="preserve"> Die Stromstärke ist so groß, dass die Schmelzsicherung durchbrennt (siehe obiges Bild).</w:t>
            </w:r>
          </w:p>
          <w:p w:rsidR="003663BB" w:rsidRDefault="003663BB" w:rsidP="003663BB">
            <w:pPr>
              <w:pStyle w:val="Listenabsatz"/>
              <w:spacing w:after="120" w:line="240" w:lineRule="auto"/>
            </w:pPr>
          </w:p>
          <w:p w:rsidR="004626FB" w:rsidRPr="00DA3A92" w:rsidRDefault="003663BB" w:rsidP="004626FB">
            <w:pPr>
              <w:pStyle w:val="Listenabsatz"/>
              <w:numPr>
                <w:ilvl w:val="0"/>
                <w:numId w:val="3"/>
              </w:numPr>
              <w:spacing w:after="12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A56A746" wp14:editId="795C0377">
                  <wp:simplePos x="0" y="0"/>
                  <wp:positionH relativeFrom="column">
                    <wp:posOffset>2775585</wp:posOffset>
                  </wp:positionH>
                  <wp:positionV relativeFrom="paragraph">
                    <wp:posOffset>0</wp:posOffset>
                  </wp:positionV>
                  <wp:extent cx="2867025" cy="2553335"/>
                  <wp:effectExtent l="0" t="0" r="9525" b="0"/>
                  <wp:wrapSquare wrapText="bothSides"/>
                  <wp:docPr id="3" name="Grafik 3" descr="C:\Users\Monika Nikolaus\Desktop\Bilder Schmelzsicherung\20190613_144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nika Nikolaus\Desktop\Bilder Schmelzsicherung\20190613_1440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4" r="9459"/>
                          <a:stretch/>
                        </pic:blipFill>
                        <pic:spPr bwMode="auto">
                          <a:xfrm>
                            <a:off x="0" y="0"/>
                            <a:ext cx="2867025" cy="255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593A">
              <w:t>Hat die Waschmaschine einen Isolationsschaden gegen das Gehäuse</w:t>
            </w:r>
            <w:r w:rsidR="00810F95">
              <w:t xml:space="preserve"> (hier zusätzliches rotes Kabel auf Gehäuse)</w:t>
            </w:r>
            <w:r w:rsidR="005B593A">
              <w:t xml:space="preserve"> und ist </w:t>
            </w:r>
            <w:r w:rsidR="005B593A" w:rsidRPr="005B593A">
              <w:rPr>
                <w:u w:val="single"/>
              </w:rPr>
              <w:t>kein Schutzleiter</w:t>
            </w:r>
            <w:r w:rsidR="005B593A">
              <w:t xml:space="preserve"> vorhanden</w:t>
            </w:r>
            <w:r w:rsidR="00DB46A2">
              <w:t xml:space="preserve"> (grün-gelbe Steckverbindung trennen)</w:t>
            </w:r>
            <w:r w:rsidR="005B593A">
              <w:t xml:space="preserve">, dann </w:t>
            </w:r>
            <w:r w:rsidR="00810F95">
              <w:t xml:space="preserve">fließt </w:t>
            </w:r>
            <w:r w:rsidR="00D459F4">
              <w:t>ein</w:t>
            </w:r>
            <w:r w:rsidR="00810F95">
              <w:t xml:space="preserve"> Teil des Stroms über den Menschen ab.</w:t>
            </w:r>
            <w:r w:rsidR="00DB46A2">
              <w:t xml:space="preserve"> Die ‚Menschenlampe‘ leuchtet</w:t>
            </w:r>
            <w:r w:rsidR="004626FB">
              <w:t xml:space="preserve"> (vgl. rechtes Bild)</w:t>
            </w:r>
            <w:r w:rsidR="00DB46A2">
              <w:t>.</w:t>
            </w:r>
          </w:p>
        </w:tc>
        <w:bookmarkStart w:id="0" w:name="_GoBack"/>
        <w:bookmarkEnd w:id="0"/>
      </w:tr>
    </w:tbl>
    <w:p w:rsidR="00D459F4" w:rsidRDefault="00D459F4">
      <w:pPr>
        <w:spacing w:after="0" w:line="240" w:lineRule="auto"/>
        <w:rPr>
          <w:b/>
        </w:rPr>
      </w:pPr>
    </w:p>
    <w:p w:rsidR="00F7335A" w:rsidRDefault="00F7335A" w:rsidP="00260D3B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C5370F" w:rsidP="00F7335A">
      <w:pPr>
        <w:spacing w:after="0" w:line="240" w:lineRule="auto"/>
      </w:pPr>
      <w:sdt>
        <w:sdtPr>
          <w:id w:val="-70131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sdt>
        <w:sdtPr>
          <w:id w:val="-8546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F7335A">
        <w:t xml:space="preserve"> elektrisch </w:t>
      </w:r>
      <w:r w:rsidR="000F0165">
        <w:tab/>
      </w:r>
      <w:sdt>
        <w:sdtPr>
          <w:id w:val="20102479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37A0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thermisch</w:t>
      </w:r>
      <w:r w:rsidR="000F0165">
        <w:tab/>
      </w:r>
      <w:r w:rsidR="00F7335A">
        <w:tab/>
      </w:r>
      <w:sdt>
        <w:sdtPr>
          <w:id w:val="-182719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8D609B">
        <w:t xml:space="preserve"> IR-, optische Strahlung</w:t>
      </w:r>
    </w:p>
    <w:p w:rsidR="00F7335A" w:rsidRDefault="00C5370F" w:rsidP="00F7335A">
      <w:pPr>
        <w:spacing w:after="0" w:line="240" w:lineRule="auto"/>
        <w:rPr>
          <w:b/>
        </w:rPr>
      </w:pPr>
      <w:sdt>
        <w:sdtPr>
          <w:id w:val="-67010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D8025D">
        <w:t xml:space="preserve"> </w:t>
      </w:r>
      <w:r w:rsidR="001D36E0">
        <w:t>ionisierende Strahlung</w:t>
      </w:r>
      <w:r w:rsidR="000F0165">
        <w:tab/>
      </w:r>
      <w:sdt>
        <w:sdtPr>
          <w:id w:val="-158329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D8025D">
        <w:t xml:space="preserve"> </w:t>
      </w:r>
      <w:r w:rsidR="000873A7">
        <w:t>Lärm</w:t>
      </w:r>
      <w:r w:rsidR="000873A7">
        <w:tab/>
      </w:r>
      <w:sdt>
        <w:sdtPr>
          <w:id w:val="-170363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F7335A">
        <w:t xml:space="preserve"> Gefahrstoffe</w:t>
      </w:r>
      <w:r w:rsidR="00F7335A">
        <w:tab/>
      </w:r>
      <w:r w:rsidR="00F7335A">
        <w:tab/>
      </w:r>
      <w:sdt>
        <w:sdtPr>
          <w:id w:val="27391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6D6E0A" w:rsidP="00493E31">
            <w:pPr>
              <w:spacing w:after="0" w:line="240" w:lineRule="auto"/>
            </w:pPr>
            <w:r>
              <w:t>Verbrennung</w:t>
            </w:r>
            <w:r w:rsidR="00DB46A2">
              <w:t>sgefahr durch ‚Schmelzsicherung‘</w:t>
            </w:r>
          </w:p>
        </w:tc>
        <w:tc>
          <w:tcPr>
            <w:tcW w:w="5953" w:type="dxa"/>
            <w:shd w:val="clear" w:color="auto" w:fill="auto"/>
          </w:tcPr>
          <w:p w:rsidR="006D6E0A" w:rsidRDefault="006D6E0A" w:rsidP="006D6E0A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Feuerfeste Unterlagen nutzen!</w:t>
            </w:r>
          </w:p>
          <w:p w:rsidR="00F7335A" w:rsidRPr="00493E31" w:rsidRDefault="006D6E0A" w:rsidP="00F874C6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Brennbare Gegenstände von der Arbeitsfläche entfernen!</w:t>
            </w:r>
          </w:p>
        </w:tc>
      </w:tr>
    </w:tbl>
    <w:p w:rsidR="00F7335A" w:rsidRDefault="00F7335A" w:rsidP="00F7335A">
      <w:pPr>
        <w:spacing w:after="0" w:line="240" w:lineRule="auto"/>
      </w:pPr>
    </w:p>
    <w:p w:rsidR="00587F0F" w:rsidRDefault="00C5370F" w:rsidP="00587F0F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F0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87F0F" w:rsidRPr="0010479B">
        <w:rPr>
          <w:szCs w:val="20"/>
        </w:rPr>
        <w:t xml:space="preserve"> </w:t>
      </w:r>
      <w:r w:rsidR="00587F0F">
        <w:rPr>
          <w:szCs w:val="20"/>
        </w:rPr>
        <w:t>Unterrichtliche Rahmenbedingungen (</w:t>
      </w:r>
      <w:r w:rsidR="0045172A">
        <w:rPr>
          <w:szCs w:val="20"/>
        </w:rPr>
        <w:t>Lerngruppe</w:t>
      </w:r>
      <w:r w:rsidR="00587F0F">
        <w:rPr>
          <w:szCs w:val="20"/>
        </w:rPr>
        <w:t>, Unterrichtsraum,…) wurden berücksichtigt.</w:t>
      </w:r>
    </w:p>
    <w:p w:rsidR="00587F0F" w:rsidRDefault="00587F0F" w:rsidP="00F7335A">
      <w:pPr>
        <w:spacing w:after="0" w:line="240" w:lineRule="auto"/>
      </w:pPr>
    </w:p>
    <w:p w:rsidR="0097300D" w:rsidRDefault="006F4824" w:rsidP="00260D3B">
      <w:pPr>
        <w:spacing w:after="120" w:line="240" w:lineRule="auto"/>
        <w:rPr>
          <w:b/>
        </w:rPr>
      </w:pPr>
      <w:r>
        <w:rPr>
          <w:b/>
        </w:rPr>
        <w:t xml:space="preserve">Ergänzende Hinweise: </w:t>
      </w:r>
    </w:p>
    <w:p w:rsidR="00F7335A" w:rsidRDefault="0097300D" w:rsidP="00260D3B">
      <w:pPr>
        <w:spacing w:after="120" w:line="240" w:lineRule="auto"/>
        <w:rPr>
          <w:b/>
        </w:rPr>
      </w:pPr>
      <w:r>
        <w:rPr>
          <w:b/>
        </w:rPr>
        <w:t xml:space="preserve">Lesehilfe für die obige Schaltung und </w:t>
      </w:r>
      <w:r w:rsidR="006F4824">
        <w:rPr>
          <w:b/>
        </w:rPr>
        <w:t>Übertragung des Modellexperiments auf Haushaltsspannung von 230V</w:t>
      </w:r>
      <w:r w:rsidR="003663BB">
        <w:rPr>
          <w:b/>
        </w:rPr>
        <w:t>:</w:t>
      </w:r>
    </w:p>
    <w:p w:rsidR="006F4824" w:rsidRDefault="0097300D" w:rsidP="0097300D">
      <w:pPr>
        <w:spacing w:after="12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54247F8D" wp14:editId="0636C7B6">
            <wp:extent cx="4257493" cy="2623930"/>
            <wp:effectExtent l="0" t="0" r="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3620" cy="262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00D" w:rsidRDefault="0097300D" w:rsidP="00260D3B">
      <w:pPr>
        <w:spacing w:after="120" w:line="240" w:lineRule="auto"/>
        <w:rPr>
          <w:b/>
        </w:rPr>
      </w:pPr>
    </w:p>
    <w:p w:rsidR="0097300D" w:rsidRDefault="0097300D" w:rsidP="00260D3B">
      <w:pPr>
        <w:spacing w:after="120" w:line="240" w:lineRule="auto"/>
        <w:rPr>
          <w:b/>
        </w:rPr>
      </w:pPr>
      <w:r>
        <w:rPr>
          <w:b/>
        </w:rPr>
        <w:t>Blankovorlage</w:t>
      </w:r>
    </w:p>
    <w:p w:rsidR="00264964" w:rsidRPr="00775BEE" w:rsidRDefault="00264964" w:rsidP="0097300D">
      <w:pPr>
        <w:spacing w:after="12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5EAD8EC4" wp14:editId="35CA2B2D">
            <wp:extent cx="3876931" cy="2568271"/>
            <wp:effectExtent l="0" t="0" r="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4908" cy="256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964" w:rsidRPr="00775BEE" w:rsidSect="00D8025D">
      <w:headerReference w:type="default" r:id="rId11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0F" w:rsidRDefault="00C5370F" w:rsidP="00C00502">
      <w:pPr>
        <w:spacing w:after="0" w:line="240" w:lineRule="auto"/>
      </w:pPr>
      <w:r>
        <w:separator/>
      </w:r>
    </w:p>
  </w:endnote>
  <w:endnote w:type="continuationSeparator" w:id="0">
    <w:p w:rsidR="00C5370F" w:rsidRDefault="00C5370F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0F" w:rsidRDefault="00C5370F" w:rsidP="00C00502">
      <w:pPr>
        <w:spacing w:after="0" w:line="240" w:lineRule="auto"/>
      </w:pPr>
      <w:r>
        <w:separator/>
      </w:r>
    </w:p>
  </w:footnote>
  <w:footnote w:type="continuationSeparator" w:id="0">
    <w:p w:rsidR="00C5370F" w:rsidRDefault="00C5370F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7F61A4">
      <w:rPr>
        <w:noProof/>
      </w:rPr>
      <w:drawing>
        <wp:inline distT="0" distB="0" distL="0" distR="0">
          <wp:extent cx="1254760" cy="584835"/>
          <wp:effectExtent l="0" t="0" r="2540" b="5715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33C9"/>
    <w:multiLevelType w:val="hybridMultilevel"/>
    <w:tmpl w:val="B86A4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7362"/>
    <w:multiLevelType w:val="hybridMultilevel"/>
    <w:tmpl w:val="7DF20A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169F9"/>
    <w:multiLevelType w:val="hybridMultilevel"/>
    <w:tmpl w:val="91C6F3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30768"/>
    <w:rsid w:val="000307DF"/>
    <w:rsid w:val="00044DC4"/>
    <w:rsid w:val="00085247"/>
    <w:rsid w:val="000873A7"/>
    <w:rsid w:val="000A7D6C"/>
    <w:rsid w:val="000B10EE"/>
    <w:rsid w:val="000B4785"/>
    <w:rsid w:val="000B6393"/>
    <w:rsid w:val="000B6B40"/>
    <w:rsid w:val="000C2734"/>
    <w:rsid w:val="000F0165"/>
    <w:rsid w:val="00117E2D"/>
    <w:rsid w:val="001549DB"/>
    <w:rsid w:val="00163FCF"/>
    <w:rsid w:val="00166290"/>
    <w:rsid w:val="001B7141"/>
    <w:rsid w:val="001C72C8"/>
    <w:rsid w:val="001D36E0"/>
    <w:rsid w:val="001F7600"/>
    <w:rsid w:val="00260D3B"/>
    <w:rsid w:val="00261CF7"/>
    <w:rsid w:val="00264964"/>
    <w:rsid w:val="002865C7"/>
    <w:rsid w:val="002926A6"/>
    <w:rsid w:val="002C3A98"/>
    <w:rsid w:val="002D3573"/>
    <w:rsid w:val="002E0716"/>
    <w:rsid w:val="002F3620"/>
    <w:rsid w:val="003208CC"/>
    <w:rsid w:val="00347E98"/>
    <w:rsid w:val="003663BB"/>
    <w:rsid w:val="00371B40"/>
    <w:rsid w:val="003736F8"/>
    <w:rsid w:val="003D28C6"/>
    <w:rsid w:val="003F3096"/>
    <w:rsid w:val="00413392"/>
    <w:rsid w:val="0045172A"/>
    <w:rsid w:val="00456368"/>
    <w:rsid w:val="004626FB"/>
    <w:rsid w:val="00472E27"/>
    <w:rsid w:val="00486BC1"/>
    <w:rsid w:val="00493E31"/>
    <w:rsid w:val="00496D36"/>
    <w:rsid w:val="004C178F"/>
    <w:rsid w:val="004E0660"/>
    <w:rsid w:val="00501972"/>
    <w:rsid w:val="00520EE0"/>
    <w:rsid w:val="00550DB2"/>
    <w:rsid w:val="00551A39"/>
    <w:rsid w:val="00555DEF"/>
    <w:rsid w:val="005773F9"/>
    <w:rsid w:val="0058724A"/>
    <w:rsid w:val="00587F0F"/>
    <w:rsid w:val="005B593A"/>
    <w:rsid w:val="005D182C"/>
    <w:rsid w:val="00612249"/>
    <w:rsid w:val="00617967"/>
    <w:rsid w:val="00624D7A"/>
    <w:rsid w:val="00627E47"/>
    <w:rsid w:val="006442C3"/>
    <w:rsid w:val="0066409C"/>
    <w:rsid w:val="00686046"/>
    <w:rsid w:val="006D6E0A"/>
    <w:rsid w:val="006E0775"/>
    <w:rsid w:val="006E07BD"/>
    <w:rsid w:val="006E20FE"/>
    <w:rsid w:val="006F4824"/>
    <w:rsid w:val="00741ABC"/>
    <w:rsid w:val="00743F3D"/>
    <w:rsid w:val="00762CFF"/>
    <w:rsid w:val="007738C7"/>
    <w:rsid w:val="00775BEE"/>
    <w:rsid w:val="00787C78"/>
    <w:rsid w:val="00790D58"/>
    <w:rsid w:val="007A09D5"/>
    <w:rsid w:val="007A2D0D"/>
    <w:rsid w:val="007A4D04"/>
    <w:rsid w:val="007D1D89"/>
    <w:rsid w:val="007E5FEE"/>
    <w:rsid w:val="007E79F1"/>
    <w:rsid w:val="007F61A4"/>
    <w:rsid w:val="00800025"/>
    <w:rsid w:val="00805F94"/>
    <w:rsid w:val="00810F95"/>
    <w:rsid w:val="00812FF0"/>
    <w:rsid w:val="008226B4"/>
    <w:rsid w:val="008262FE"/>
    <w:rsid w:val="00833D6A"/>
    <w:rsid w:val="00843C1E"/>
    <w:rsid w:val="00867F8A"/>
    <w:rsid w:val="008853E1"/>
    <w:rsid w:val="00896D23"/>
    <w:rsid w:val="008C7436"/>
    <w:rsid w:val="008D609B"/>
    <w:rsid w:val="008F3EA4"/>
    <w:rsid w:val="008F7253"/>
    <w:rsid w:val="008F7E88"/>
    <w:rsid w:val="009067E6"/>
    <w:rsid w:val="009246E2"/>
    <w:rsid w:val="00927324"/>
    <w:rsid w:val="00937736"/>
    <w:rsid w:val="00970010"/>
    <w:rsid w:val="0097300D"/>
    <w:rsid w:val="009E09EB"/>
    <w:rsid w:val="00A113E6"/>
    <w:rsid w:val="00A2556B"/>
    <w:rsid w:val="00A337A0"/>
    <w:rsid w:val="00A675A5"/>
    <w:rsid w:val="00A93ECC"/>
    <w:rsid w:val="00AB1571"/>
    <w:rsid w:val="00AC3FEB"/>
    <w:rsid w:val="00B11773"/>
    <w:rsid w:val="00B303D2"/>
    <w:rsid w:val="00B41A45"/>
    <w:rsid w:val="00B775DD"/>
    <w:rsid w:val="00B84BE0"/>
    <w:rsid w:val="00BA32C0"/>
    <w:rsid w:val="00BB3F7A"/>
    <w:rsid w:val="00BC6D31"/>
    <w:rsid w:val="00C00502"/>
    <w:rsid w:val="00C0191A"/>
    <w:rsid w:val="00C163AF"/>
    <w:rsid w:val="00C31D67"/>
    <w:rsid w:val="00C5370F"/>
    <w:rsid w:val="00C7642E"/>
    <w:rsid w:val="00C76C9E"/>
    <w:rsid w:val="00C8478F"/>
    <w:rsid w:val="00CB3127"/>
    <w:rsid w:val="00CC73B5"/>
    <w:rsid w:val="00CC787F"/>
    <w:rsid w:val="00D143F0"/>
    <w:rsid w:val="00D3563A"/>
    <w:rsid w:val="00D459F4"/>
    <w:rsid w:val="00D53F75"/>
    <w:rsid w:val="00D8025D"/>
    <w:rsid w:val="00DA3A92"/>
    <w:rsid w:val="00DB46A2"/>
    <w:rsid w:val="00DC5838"/>
    <w:rsid w:val="00DE01A9"/>
    <w:rsid w:val="00E2456C"/>
    <w:rsid w:val="00E56D35"/>
    <w:rsid w:val="00E75C10"/>
    <w:rsid w:val="00EC4DD5"/>
    <w:rsid w:val="00EE74C5"/>
    <w:rsid w:val="00EF3602"/>
    <w:rsid w:val="00F23079"/>
    <w:rsid w:val="00F352E7"/>
    <w:rsid w:val="00F36519"/>
    <w:rsid w:val="00F52653"/>
    <w:rsid w:val="00F707F5"/>
    <w:rsid w:val="00F7335A"/>
    <w:rsid w:val="00F84373"/>
    <w:rsid w:val="00F874C6"/>
    <w:rsid w:val="00F97927"/>
    <w:rsid w:val="00FA299D"/>
    <w:rsid w:val="00FB2632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B2D2B-B159-444C-BA01-F94802D4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Beate Tölle</cp:lastModifiedBy>
  <cp:revision>4</cp:revision>
  <cp:lastPrinted>2019-06-13T11:55:00Z</cp:lastPrinted>
  <dcterms:created xsi:type="dcterms:W3CDTF">2019-06-13T13:20:00Z</dcterms:created>
  <dcterms:modified xsi:type="dcterms:W3CDTF">2019-06-13T13:30:00Z</dcterms:modified>
</cp:coreProperties>
</file>