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90D58" w:rsidRPr="00493E31" w:rsidTr="00555DEF">
        <w:tc>
          <w:tcPr>
            <w:tcW w:w="9180" w:type="dxa"/>
            <w:shd w:val="clear" w:color="auto" w:fill="auto"/>
            <w:vAlign w:val="center"/>
          </w:tcPr>
          <w:p w:rsidR="00790D58" w:rsidRPr="00493E31" w:rsidRDefault="002D1B07" w:rsidP="009668CF">
            <w:pPr>
              <w:spacing w:after="0" w:line="240" w:lineRule="auto"/>
              <w:rPr>
                <w:b/>
                <w:sz w:val="28"/>
                <w:szCs w:val="28"/>
              </w:rPr>
            </w:pPr>
            <w:r w:rsidRPr="002D1B07">
              <w:rPr>
                <w:b/>
                <w:sz w:val="28"/>
                <w:szCs w:val="28"/>
              </w:rPr>
              <w:t>Proportionalität von Ladung und Kraft im elektrischen Feld</w:t>
            </w:r>
          </w:p>
        </w:tc>
      </w:tr>
    </w:tbl>
    <w:p w:rsidR="00D8025D" w:rsidRDefault="00D8025D" w:rsidP="00F7335A">
      <w:pPr>
        <w:spacing w:after="0" w:line="240" w:lineRule="auto"/>
      </w:pPr>
      <w:r>
        <w:tab/>
      </w:r>
      <w:r>
        <w:tab/>
      </w:r>
      <w:r>
        <w:tab/>
      </w:r>
    </w:p>
    <w:p w:rsidR="00F7335A" w:rsidRDefault="00EC65C0" w:rsidP="00F7335A">
      <w:pPr>
        <w:spacing w:after="0" w:line="240" w:lineRule="auto"/>
      </w:pPr>
      <w:sdt>
        <w:sdtPr>
          <w:rPr>
            <w:rFonts w:ascii="MS Gothic" w:eastAsia="MS Gothic" w:hAnsi="MS Gothic"/>
          </w:rPr>
          <w:id w:val="852606312"/>
          <w14:checkbox>
            <w14:checked w14:val="1"/>
            <w14:checkedState w14:val="2612" w14:font="MS Gothic"/>
            <w14:uncheckedState w14:val="2610" w14:font="MS Gothic"/>
          </w14:checkbox>
        </w:sdtPr>
        <w:sdtEndPr/>
        <w:sdtContent>
          <w:r w:rsidR="007B779A">
            <w:rPr>
              <w:rFonts w:ascii="MS Gothic" w:eastAsia="MS Gothic" w:hAnsi="MS Gothic" w:hint="eastAsia"/>
            </w:rPr>
            <w:t>☒</w:t>
          </w:r>
        </w:sdtContent>
      </w:sdt>
      <w:r w:rsidR="003F3096">
        <w:t xml:space="preserve"> Lehrerversuch</w:t>
      </w:r>
      <w:r w:rsidR="00F7335A">
        <w:tab/>
      </w:r>
      <w:r w:rsidR="002D1B07">
        <w:rPr>
          <w:rFonts w:ascii="MS Gothic" w:eastAsia="MS Gothic" w:hAnsi="MS Gothic" w:hint="eastAsia"/>
        </w:rPr>
        <w:t>☐</w:t>
      </w:r>
      <w:r w:rsidR="003F3096" w:rsidRPr="000873A7">
        <w:t xml:space="preserve"> Lehrerversuch</w:t>
      </w:r>
      <w:r w:rsidR="00F7335A" w:rsidRPr="000873A7">
        <w:t xml:space="preserve"> mit Schülerbeteiligung</w:t>
      </w:r>
      <w:r w:rsidR="00F7335A">
        <w:t xml:space="preserve"> </w:t>
      </w:r>
      <w:r w:rsidR="00F7335A">
        <w:tab/>
      </w:r>
      <w:r w:rsidR="009D02A2">
        <w:rPr>
          <w:rFonts w:ascii="MS Gothic" w:eastAsia="MS Gothic" w:hAnsi="MS Gothic" w:hint="eastAsia"/>
        </w:rPr>
        <w:t>☐</w:t>
      </w:r>
      <w:r w:rsidR="003F3096">
        <w:t xml:space="preserve"> Schülerversuch</w:t>
      </w:r>
    </w:p>
    <w:p w:rsidR="00F7335A" w:rsidRDefault="00F7335A" w:rsidP="00F7335A">
      <w:pPr>
        <w:spacing w:after="0" w:line="240" w:lineRule="auto"/>
      </w:pPr>
    </w:p>
    <w:p w:rsidR="007B779A" w:rsidRDefault="007B779A" w:rsidP="007B779A">
      <w:pPr>
        <w:spacing w:after="120" w:line="240" w:lineRule="auto"/>
        <w:rPr>
          <w:b/>
        </w:rPr>
      </w:pPr>
      <w:r w:rsidRPr="0028643B">
        <w:rPr>
          <w:b/>
        </w:rPr>
        <w:t>A</w:t>
      </w:r>
      <w:r>
        <w:rPr>
          <w:b/>
        </w:rPr>
        <w:t>ussagekräftige Beschreibung (z. </w:t>
      </w:r>
      <w:r w:rsidRPr="0028643B">
        <w:rPr>
          <w:b/>
        </w:rPr>
        <w:t>B. Text, Bild, Skizze) des Versuchs:</w:t>
      </w:r>
    </w:p>
    <w:p w:rsidR="008A220A" w:rsidRDefault="009C6D81" w:rsidP="00F7335A">
      <w:pPr>
        <w:spacing w:after="0" w:line="240" w:lineRule="auto"/>
        <w:rPr>
          <w:noProof/>
        </w:rPr>
      </w:pPr>
      <w:r>
        <w:rPr>
          <w:noProof/>
        </w:rPr>
        <w:drawing>
          <wp:inline distT="0" distB="0" distL="0" distR="0">
            <wp:extent cx="4577628" cy="3434080"/>
            <wp:effectExtent l="19050" t="19050" r="13970" b="13970"/>
            <wp:docPr id="3" name="Grafik 3" descr="E:\EigeneDateien\Fachberatung\Verordnungen Gesetze Anweisungen Durchführungsbestimmungen\Sicherheitsbestimmungen\Gefährdungsbeurteilung\Bilder GefBu\P100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igeneDateien\Fachberatung\Verordnungen Gesetze Anweisungen Durchführungsbestimmungen\Sicherheitsbestimmungen\Gefährdungsbeurteilung\Bilder GefBu\P10001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4297" cy="3431581"/>
                    </a:xfrm>
                    <a:prstGeom prst="rect">
                      <a:avLst/>
                    </a:prstGeom>
                    <a:noFill/>
                    <a:ln>
                      <a:solidFill>
                        <a:schemeClr val="tx1"/>
                      </a:solidFill>
                    </a:ln>
                  </pic:spPr>
                </pic:pic>
              </a:graphicData>
            </a:graphic>
          </wp:inline>
        </w:drawing>
      </w:r>
    </w:p>
    <w:p w:rsidR="00B22B7B" w:rsidRDefault="00735212" w:rsidP="00F7335A">
      <w:pPr>
        <w:spacing w:after="0" w:line="240" w:lineRule="auto"/>
        <w:rPr>
          <w:noProof/>
        </w:rPr>
      </w:pPr>
      <w:r>
        <w:rPr>
          <w:noProof/>
        </w:rPr>
        <w:br/>
      </w:r>
      <w:r>
        <w:rPr>
          <w:noProof/>
        </w:rPr>
        <w:drawing>
          <wp:inline distT="0" distB="0" distL="0" distR="0" wp14:anchorId="636CB8A3" wp14:editId="5CF421D3">
            <wp:extent cx="4595685" cy="3447626"/>
            <wp:effectExtent l="19050" t="19050" r="14605" b="19685"/>
            <wp:docPr id="2" name="Grafik 2" descr="E:\EigeneDateien\Fachberatung\Verordnungen Gesetze Anweisungen Durchführungsbestimmungen\Sicherheitsbestimmungen\Gefährdungsbeurteilung\Bilder GefBu\P1000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igeneDateien\Fachberatung\Verordnungen Gesetze Anweisungen Durchführungsbestimmungen\Sicherheitsbestimmungen\Gefährdungsbeurteilung\Bilder GefBu\P10001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2341" cy="3445117"/>
                    </a:xfrm>
                    <a:prstGeom prst="rect">
                      <a:avLst/>
                    </a:prstGeom>
                    <a:noFill/>
                    <a:ln>
                      <a:solidFill>
                        <a:schemeClr val="tx1"/>
                      </a:solidFill>
                    </a:ln>
                  </pic:spPr>
                </pic:pic>
              </a:graphicData>
            </a:graphic>
          </wp:inline>
        </w:drawing>
      </w:r>
      <w:r>
        <w:rPr>
          <w:noProof/>
        </w:rPr>
        <w:br/>
      </w:r>
      <w:r w:rsidRPr="007B779A">
        <w:rPr>
          <w:noProof/>
          <w:sz w:val="12"/>
        </w:rPr>
        <w:br/>
      </w:r>
      <w:r w:rsidR="005549D5">
        <w:rPr>
          <w:noProof/>
        </w:rPr>
        <w:t>Die Analysewaage dient zur Kraftbestimmung und kann gegen einen empfindlichen Kraftmesser ausgetauscht werden.</w:t>
      </w:r>
    </w:p>
    <w:p w:rsidR="005549D5" w:rsidRDefault="005549D5" w:rsidP="00D862F4">
      <w:pPr>
        <w:spacing w:after="120" w:line="240" w:lineRule="auto"/>
        <w:rPr>
          <w:noProof/>
        </w:rPr>
      </w:pPr>
      <w:r>
        <w:rPr>
          <w:noProof/>
        </w:rPr>
        <w:lastRenderedPageBreak/>
        <w:t>Die obere Platte hat gegenüber der unteren, geerdeten ein Potenzial von 7000</w:t>
      </w:r>
      <w:r w:rsidR="00735212">
        <w:rPr>
          <w:noProof/>
        </w:rPr>
        <w:t> </w:t>
      </w:r>
      <w:r>
        <w:rPr>
          <w:noProof/>
        </w:rPr>
        <w:t>V. Aufgrund der Bauart des Hochspannungsnetzgerätes ist diese hohe Spannung nicht berührungsgefährlich, trotzdem sollte mit größter Vorsicht gearbeitet werden</w:t>
      </w:r>
      <w:r w:rsidR="00735212">
        <w:rPr>
          <w:noProof/>
        </w:rPr>
        <w:t xml:space="preserve"> (</w:t>
      </w:r>
      <w:r w:rsidR="00D862F4">
        <w:rPr>
          <w:noProof/>
        </w:rPr>
        <w:t>s. u.</w:t>
      </w:r>
      <w:r w:rsidR="00735212">
        <w:rPr>
          <w:noProof/>
        </w:rPr>
        <w:t>)</w:t>
      </w:r>
      <w:r>
        <w:rPr>
          <w:noProof/>
        </w:rPr>
        <w:t xml:space="preserve">. </w:t>
      </w:r>
    </w:p>
    <w:p w:rsidR="007B779A" w:rsidRDefault="005549D5" w:rsidP="00E522C5">
      <w:pPr>
        <w:spacing w:after="120" w:line="240" w:lineRule="auto"/>
      </w:pPr>
      <w:r>
        <w:t>Durchführung:</w:t>
      </w:r>
    </w:p>
    <w:p w:rsidR="005549D5" w:rsidRDefault="005549D5" w:rsidP="00E522C5">
      <w:pPr>
        <w:spacing w:after="120" w:line="240" w:lineRule="auto"/>
      </w:pPr>
      <w:r>
        <w:t xml:space="preserve">Die auf der Waage stehende Kugel wird durch die </w:t>
      </w:r>
      <w:r w:rsidR="007C328E">
        <w:t xml:space="preserve">herangeführte </w:t>
      </w:r>
      <w:r>
        <w:t>zweite Kugel mit d</w:t>
      </w:r>
      <w:r w:rsidR="00735212">
        <w:t>er oberen Platte kurz verbunden und</w:t>
      </w:r>
      <w:r>
        <w:t xml:space="preserve"> die Anzeige der Waage notiert. Anschließend wird die </w:t>
      </w:r>
      <w:r w:rsidR="007C328E">
        <w:t xml:space="preserve">zweite, zuvor entladene Kugel wieder vorsichtig </w:t>
      </w:r>
      <w:r>
        <w:t xml:space="preserve">in der Kondensatormitte </w:t>
      </w:r>
      <w:r w:rsidR="007C328E">
        <w:t>an die geladene Kugel herangeführt, bis eine kurze Berührung für einen Ladungsausgleich auf beiden Kugeln sorgt (Ladungshalbierung). Der von der Waage angezeigte neue Wert wird notiert. Dies wird solange wiederholt, wie vernünftigerweise Werte abgelesen werden können. Es ergibt sich eine Proportionalität von Ladung und Kraft.</w:t>
      </w:r>
    </w:p>
    <w:p w:rsidR="007C328E" w:rsidRDefault="007C328E" w:rsidP="00D862F4">
      <w:pPr>
        <w:spacing w:after="0" w:line="240" w:lineRule="auto"/>
      </w:pPr>
      <w:r>
        <w:t>Muss die obere Platte mit dem Körper berührt werden, so dient das bereitliegende, geerdete Experimentierkabel zur sicheren Entladung.</w:t>
      </w:r>
    </w:p>
    <w:p w:rsidR="00F7335A" w:rsidRDefault="00F7335A" w:rsidP="00F7335A">
      <w:pPr>
        <w:spacing w:after="0" w:line="240" w:lineRule="auto"/>
      </w:pPr>
    </w:p>
    <w:p w:rsidR="00F7335A" w:rsidRDefault="00F7335A" w:rsidP="007B779A">
      <w:pPr>
        <w:spacing w:after="120" w:line="240" w:lineRule="auto"/>
        <w:rPr>
          <w:b/>
        </w:rPr>
      </w:pPr>
      <w:r w:rsidRPr="00F7335A">
        <w:rPr>
          <w:b/>
        </w:rPr>
        <w:t>Gefährdungsarten:</w:t>
      </w:r>
    </w:p>
    <w:p w:rsidR="00F7335A" w:rsidRPr="00F7335A" w:rsidRDefault="009668CF" w:rsidP="00F7335A">
      <w:pPr>
        <w:spacing w:after="0" w:line="240" w:lineRule="auto"/>
      </w:pPr>
      <w:r>
        <w:rPr>
          <w:rFonts w:ascii="MS Gothic" w:eastAsia="MS Gothic" w:hAnsi="MS Gothic" w:hint="eastAsia"/>
        </w:rPr>
        <w:t>☐</w:t>
      </w:r>
      <w:r w:rsidR="00F7335A">
        <w:t xml:space="preserve"> m</w:t>
      </w:r>
      <w:r w:rsidR="00D8025D">
        <w:t>echanisch</w:t>
      </w:r>
      <w:r w:rsidR="00D8025D">
        <w:tab/>
      </w:r>
      <w:r w:rsidR="00B41A45">
        <w:t xml:space="preserve">  </w:t>
      </w:r>
      <w:r w:rsidR="00F7335A">
        <w:tab/>
      </w:r>
      <w:r w:rsidR="000873A7">
        <w:tab/>
      </w:r>
      <w:sdt>
        <w:sdtPr>
          <w:id w:val="1651558246"/>
          <w14:checkbox>
            <w14:checked w14:val="1"/>
            <w14:checkedState w14:val="2612" w14:font="MS Gothic"/>
            <w14:uncheckedState w14:val="2610" w14:font="MS Gothic"/>
          </w14:checkbox>
        </w:sdtPr>
        <w:sdtEndPr/>
        <w:sdtContent>
          <w:r w:rsidR="007B779A">
            <w:rPr>
              <w:rFonts w:ascii="MS Gothic" w:eastAsia="MS Gothic" w:hAnsi="MS Gothic" w:hint="eastAsia"/>
            </w:rPr>
            <w:t>☒</w:t>
          </w:r>
        </w:sdtContent>
      </w:sdt>
      <w:r w:rsidR="00B14E85">
        <w:t xml:space="preserve"> </w:t>
      </w:r>
      <w:r w:rsidR="00F7335A">
        <w:t xml:space="preserve">elektrisch </w:t>
      </w:r>
      <w:r w:rsidR="000F0165">
        <w:tab/>
      </w:r>
      <w:r w:rsidR="00B14E85">
        <w:rPr>
          <w:rFonts w:ascii="MS Gothic" w:eastAsia="MS Gothic" w:hAnsi="MS Gothic" w:hint="eastAsia"/>
        </w:rPr>
        <w:t>☐</w:t>
      </w:r>
      <w:r w:rsidR="00F7335A">
        <w:t xml:space="preserve"> thermisch</w:t>
      </w:r>
      <w:r w:rsidR="000F0165">
        <w:tab/>
      </w:r>
      <w:r w:rsidR="00F7335A">
        <w:tab/>
      </w:r>
      <w:r w:rsidR="00F7335A">
        <w:rPr>
          <w:rFonts w:ascii="MS Gothic" w:eastAsia="MS Gothic" w:hAnsi="MS Gothic" w:hint="eastAsia"/>
        </w:rPr>
        <w:t>☐</w:t>
      </w:r>
      <w:r w:rsidR="008D609B">
        <w:t xml:space="preserve"> IR-, optische Strahlung</w:t>
      </w:r>
    </w:p>
    <w:p w:rsidR="00F7335A" w:rsidRDefault="00CC73B5" w:rsidP="00F7335A">
      <w:pPr>
        <w:spacing w:after="0" w:line="240" w:lineRule="auto"/>
        <w:rPr>
          <w:b/>
        </w:rPr>
      </w:pPr>
      <w:r>
        <w:rPr>
          <w:rFonts w:ascii="MS Gothic" w:eastAsia="MS Gothic" w:hAnsi="MS Gothic" w:hint="eastAsia"/>
        </w:rPr>
        <w:t>☐</w:t>
      </w:r>
      <w:r w:rsidR="00D8025D">
        <w:t xml:space="preserve"> </w:t>
      </w:r>
      <w:r w:rsidR="001D36E0">
        <w:t>ionisierende Strahlung</w:t>
      </w:r>
      <w:r w:rsidR="000F0165">
        <w:tab/>
      </w:r>
      <w:bookmarkStart w:id="0" w:name="OLE_LINK1"/>
      <w:bookmarkStart w:id="1" w:name="OLE_LINK2"/>
      <w:r w:rsidR="00F7335A">
        <w:rPr>
          <w:rFonts w:ascii="MS Gothic" w:eastAsia="MS Gothic" w:hAnsi="MS Gothic" w:hint="eastAsia"/>
        </w:rPr>
        <w:t>☐</w:t>
      </w:r>
      <w:bookmarkEnd w:id="0"/>
      <w:bookmarkEnd w:id="1"/>
      <w:r w:rsidR="00D8025D">
        <w:t xml:space="preserve"> </w:t>
      </w:r>
      <w:r w:rsidR="000873A7">
        <w:t>Lärm</w:t>
      </w:r>
      <w:r w:rsidR="000873A7">
        <w:tab/>
      </w:r>
      <w:r w:rsidR="0055021C">
        <w:rPr>
          <w:rFonts w:ascii="MS Gothic" w:eastAsia="MS Gothic" w:hAnsi="MS Gothic" w:hint="eastAsia"/>
        </w:rPr>
        <w:t>☐</w:t>
      </w:r>
      <w:r w:rsidR="00F7335A">
        <w:t xml:space="preserve"> Gefahrstoffe</w:t>
      </w:r>
      <w:r w:rsidR="00F7335A">
        <w:tab/>
      </w:r>
      <w:r w:rsidR="00F7335A">
        <w:tab/>
      </w:r>
      <w:r w:rsidR="00D8025D">
        <w:rPr>
          <w:rFonts w:ascii="MS Gothic" w:eastAsia="MS Gothic" w:hAnsi="MS Gothic" w:hint="eastAsia"/>
        </w:rPr>
        <w:t>☐</w:t>
      </w:r>
      <w:r w:rsidR="001D36E0">
        <w:t xml:space="preserve"> Sonstiges</w:t>
      </w:r>
    </w:p>
    <w:p w:rsidR="00F7335A" w:rsidRDefault="00F7335A" w:rsidP="00F7335A">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F7335A" w:rsidRPr="00493E31" w:rsidTr="00CB3C45">
        <w:tc>
          <w:tcPr>
            <w:tcW w:w="3227" w:type="dxa"/>
            <w:shd w:val="clear" w:color="auto" w:fill="auto"/>
          </w:tcPr>
          <w:p w:rsidR="00F7335A" w:rsidRPr="00493E31" w:rsidRDefault="00F7335A" w:rsidP="00493E31">
            <w:pPr>
              <w:spacing w:after="0" w:line="240" w:lineRule="auto"/>
              <w:rPr>
                <w:b/>
              </w:rPr>
            </w:pPr>
            <w:r w:rsidRPr="00493E31">
              <w:rPr>
                <w:b/>
              </w:rPr>
              <w:t>konkrete Gefährdungen</w:t>
            </w:r>
          </w:p>
        </w:tc>
        <w:tc>
          <w:tcPr>
            <w:tcW w:w="5953" w:type="dxa"/>
            <w:shd w:val="clear" w:color="auto" w:fill="auto"/>
          </w:tcPr>
          <w:p w:rsidR="00F7335A" w:rsidRPr="00493E31" w:rsidRDefault="00F7335A" w:rsidP="00493E31">
            <w:pPr>
              <w:spacing w:after="0" w:line="240" w:lineRule="auto"/>
              <w:rPr>
                <w:b/>
              </w:rPr>
            </w:pPr>
            <w:r w:rsidRPr="00493E31">
              <w:rPr>
                <w:b/>
              </w:rPr>
              <w:t xml:space="preserve">Schutzmaßnahmen (z. B. gerätebezogen, baulich, </w:t>
            </w:r>
            <w:r w:rsidR="007A09D5" w:rsidRPr="00493E31">
              <w:rPr>
                <w:b/>
              </w:rPr>
              <w:br/>
            </w:r>
            <w:r w:rsidRPr="00493E31">
              <w:rPr>
                <w:b/>
              </w:rPr>
              <w:t xml:space="preserve">bei </w:t>
            </w:r>
            <w:r w:rsidR="00EE74C5">
              <w:rPr>
                <w:b/>
              </w:rPr>
              <w:t>der Durchführung des Versuchs</w:t>
            </w:r>
            <w:r w:rsidRPr="00493E31">
              <w:rPr>
                <w:b/>
              </w:rPr>
              <w:t xml:space="preserve">) </w:t>
            </w:r>
          </w:p>
        </w:tc>
      </w:tr>
      <w:tr w:rsidR="00F7335A" w:rsidRPr="00493E31" w:rsidTr="00CB3C45">
        <w:tc>
          <w:tcPr>
            <w:tcW w:w="3227" w:type="dxa"/>
            <w:shd w:val="clear" w:color="auto" w:fill="auto"/>
          </w:tcPr>
          <w:p w:rsidR="00F7335A" w:rsidRPr="00493E31" w:rsidRDefault="004E0FDD" w:rsidP="007C328E">
            <w:pPr>
              <w:spacing w:after="0" w:line="240" w:lineRule="auto"/>
            </w:pPr>
            <w:r>
              <w:t xml:space="preserve">Stromschlag beim </w:t>
            </w:r>
            <w:r w:rsidR="007C328E">
              <w:t>Berühren</w:t>
            </w:r>
            <w:r w:rsidR="00B14E85">
              <w:t xml:space="preserve"> </w:t>
            </w:r>
          </w:p>
        </w:tc>
        <w:tc>
          <w:tcPr>
            <w:tcW w:w="5953" w:type="dxa"/>
            <w:shd w:val="clear" w:color="auto" w:fill="auto"/>
          </w:tcPr>
          <w:p w:rsidR="00D862F4" w:rsidRDefault="007C328E" w:rsidP="00D862F4">
            <w:pPr>
              <w:pStyle w:val="Listenabsatz"/>
              <w:numPr>
                <w:ilvl w:val="0"/>
                <w:numId w:val="2"/>
              </w:numPr>
              <w:spacing w:after="0" w:line="240" w:lineRule="auto"/>
              <w:ind w:left="227" w:hanging="227"/>
            </w:pPr>
            <w:r>
              <w:t>Mit Bedacht</w:t>
            </w:r>
            <w:r w:rsidR="004546C9">
              <w:t xml:space="preserve"> </w:t>
            </w:r>
            <w:r w:rsidR="00D862F4">
              <w:t xml:space="preserve">und </w:t>
            </w:r>
            <w:r w:rsidR="004546C9">
              <w:t>ohne jede Hektik</w:t>
            </w:r>
            <w:r>
              <w:t xml:space="preserve"> experimentieren</w:t>
            </w:r>
            <w:r w:rsidR="00D862F4">
              <w:t>.</w:t>
            </w:r>
          </w:p>
          <w:p w:rsidR="00D862F4" w:rsidRDefault="00D862F4" w:rsidP="00D862F4">
            <w:pPr>
              <w:pStyle w:val="Listenabsatz"/>
              <w:numPr>
                <w:ilvl w:val="0"/>
                <w:numId w:val="2"/>
              </w:numPr>
              <w:spacing w:after="0" w:line="240" w:lineRule="auto"/>
              <w:ind w:left="227" w:hanging="227"/>
            </w:pPr>
            <w:r>
              <w:t>Folgende Aufbauhinweise beachten:</w:t>
            </w:r>
          </w:p>
          <w:p w:rsidR="00D862F4" w:rsidRDefault="00D862F4" w:rsidP="00D862F4">
            <w:pPr>
              <w:pStyle w:val="Listenabsatz"/>
              <w:numPr>
                <w:ilvl w:val="1"/>
                <w:numId w:val="2"/>
              </w:numPr>
              <w:spacing w:after="0" w:line="240" w:lineRule="auto"/>
              <w:ind w:left="743"/>
            </w:pPr>
            <w:r>
              <w:rPr>
                <w:noProof/>
              </w:rPr>
              <w:t>Zentrierung des Aufbaus in der Mitte des Versuchstisches, damit ein unbeabsichtigtes Berühren vermieden wird.</w:t>
            </w:r>
          </w:p>
          <w:p w:rsidR="007C328E" w:rsidRDefault="00D862F4" w:rsidP="00D862F4">
            <w:pPr>
              <w:pStyle w:val="Listenabsatz"/>
              <w:numPr>
                <w:ilvl w:val="1"/>
                <w:numId w:val="2"/>
              </w:numPr>
              <w:spacing w:after="0" w:line="240" w:lineRule="auto"/>
              <w:ind w:left="743"/>
            </w:pPr>
            <w:r>
              <w:rPr>
                <w:noProof/>
              </w:rPr>
              <w:t>Verwendung eines Gigaohm-Schutzwiderstandes direkt am nicht geerdeten Ausgang des Netzgerätes</w:t>
            </w:r>
          </w:p>
          <w:p w:rsidR="00EE09C2" w:rsidRDefault="00EE09C2" w:rsidP="00D862F4">
            <w:pPr>
              <w:pStyle w:val="Listenabsatz"/>
              <w:numPr>
                <w:ilvl w:val="0"/>
                <w:numId w:val="2"/>
              </w:numPr>
              <w:spacing w:after="0" w:line="240" w:lineRule="auto"/>
              <w:ind w:left="227" w:hanging="227"/>
            </w:pPr>
            <w:r>
              <w:t>Bewusstes Fernhalten des Oberkörpers,</w:t>
            </w:r>
            <w:r w:rsidR="00CB3C45">
              <w:t xml:space="preserve"> insbesondere des Kopfes von de</w:t>
            </w:r>
            <w:r w:rsidR="004F580B">
              <w:t>r</w:t>
            </w:r>
            <w:r>
              <w:t xml:space="preserve"> unter Spann</w:t>
            </w:r>
            <w:bookmarkStart w:id="2" w:name="_GoBack"/>
            <w:bookmarkEnd w:id="2"/>
            <w:r>
              <w:t>ung stehenden Platte.</w:t>
            </w:r>
          </w:p>
          <w:p w:rsidR="00881AB8" w:rsidRPr="00493E31" w:rsidRDefault="00EE09C2" w:rsidP="00EE09C2">
            <w:pPr>
              <w:pStyle w:val="Listenabsatz"/>
              <w:numPr>
                <w:ilvl w:val="0"/>
                <w:numId w:val="2"/>
              </w:numPr>
              <w:spacing w:after="0" w:line="240" w:lineRule="auto"/>
              <w:ind w:left="227" w:hanging="227"/>
            </w:pPr>
            <w:r>
              <w:t>Die bewegliche Kugel sollte auf einem ausreichend langen Isolierstiel befestigt sein.</w:t>
            </w:r>
          </w:p>
        </w:tc>
      </w:tr>
    </w:tbl>
    <w:p w:rsidR="00D862F4" w:rsidRDefault="00D862F4" w:rsidP="00D862F4">
      <w:pPr>
        <w:spacing w:after="0" w:line="240" w:lineRule="auto"/>
      </w:pPr>
    </w:p>
    <w:p w:rsidR="00D862F4" w:rsidRDefault="00EC65C0" w:rsidP="00D862F4">
      <w:pPr>
        <w:spacing w:after="0" w:line="240" w:lineRule="auto"/>
        <w:rPr>
          <w:szCs w:val="20"/>
        </w:rPr>
      </w:pPr>
      <w:sdt>
        <w:sdtPr>
          <w:rPr>
            <w:szCs w:val="20"/>
          </w:rPr>
          <w:id w:val="-1509591604"/>
          <w14:checkbox>
            <w14:checked w14:val="0"/>
            <w14:checkedState w14:val="2612" w14:font="MS Gothic"/>
            <w14:uncheckedState w14:val="2610" w14:font="MS Gothic"/>
          </w14:checkbox>
        </w:sdtPr>
        <w:sdtEndPr/>
        <w:sdtContent>
          <w:r w:rsidR="00D862F4">
            <w:rPr>
              <w:rFonts w:ascii="MS Gothic" w:eastAsia="MS Gothic" w:hAnsi="MS Gothic" w:hint="eastAsia"/>
              <w:szCs w:val="20"/>
            </w:rPr>
            <w:t>☐</w:t>
          </w:r>
        </w:sdtContent>
      </w:sdt>
      <w:r w:rsidR="00D862F4">
        <w:rPr>
          <w:szCs w:val="20"/>
        </w:rPr>
        <w:t xml:space="preserve"> Unterrichtliche Rahmenbedingungen (</w:t>
      </w:r>
      <w:r w:rsidR="00BA3AAA">
        <w:rPr>
          <w:szCs w:val="20"/>
        </w:rPr>
        <w:t>Lerngruppe</w:t>
      </w:r>
      <w:r w:rsidR="00D862F4">
        <w:rPr>
          <w:szCs w:val="20"/>
        </w:rPr>
        <w:t>, Unterrichtsraum,…) wurden berücksichtigt.</w:t>
      </w:r>
    </w:p>
    <w:p w:rsidR="00331263" w:rsidRDefault="00331263" w:rsidP="00F7335A">
      <w:pPr>
        <w:spacing w:after="0" w:line="240" w:lineRule="auto"/>
        <w:rPr>
          <w:b/>
        </w:rPr>
      </w:pPr>
    </w:p>
    <w:p w:rsidR="00F7335A" w:rsidRDefault="00775BEE" w:rsidP="007B779A">
      <w:pPr>
        <w:spacing w:after="120" w:line="240" w:lineRule="auto"/>
      </w:pPr>
      <w:r>
        <w:rPr>
          <w:b/>
        </w:rPr>
        <w:t>Ergänzende Hinweise</w:t>
      </w:r>
      <w:r w:rsidR="00633655">
        <w:rPr>
          <w:b/>
        </w:rPr>
        <w:t>:</w:t>
      </w:r>
    </w:p>
    <w:p w:rsidR="007B779A" w:rsidRDefault="007B779A" w:rsidP="007B779A">
      <w:pPr>
        <w:spacing w:after="0" w:line="240" w:lineRule="auto"/>
      </w:pPr>
      <w:r>
        <w:t xml:space="preserve">Die Definition der berührungsgefährlichen Spannungen sowie grundsätzliche Hinweise zum Umgang mit Experimenten finden sich in der </w:t>
      </w:r>
      <w:proofErr w:type="spellStart"/>
      <w:r>
        <w:t>RiSU</w:t>
      </w:r>
      <w:proofErr w:type="spellEnd"/>
      <w:r>
        <w:t xml:space="preserve"> in Abschnitt I-11. Diese Hinweise sind bei Tätigkeiten mit elektrischer Energie grundsätzlich zu beachten. </w:t>
      </w:r>
    </w:p>
    <w:p w:rsidR="007B779A" w:rsidRPr="004A6926" w:rsidRDefault="007B779A" w:rsidP="007B779A">
      <w:pPr>
        <w:spacing w:after="0" w:line="240" w:lineRule="auto"/>
        <w:rPr>
          <w:sz w:val="12"/>
        </w:rPr>
      </w:pPr>
    </w:p>
    <w:p w:rsidR="007B779A" w:rsidRDefault="007B779A" w:rsidP="007B779A">
      <w:pPr>
        <w:spacing w:after="0" w:line="240" w:lineRule="auto"/>
      </w:pPr>
      <w:r>
        <w:t>Beachten Sie außerdem die Gefährdungsbeurteilung „Versuche mit dem Hochspannungsnetzgerät“.</w:t>
      </w:r>
    </w:p>
    <w:p w:rsidR="00331263" w:rsidRPr="00633655" w:rsidRDefault="00331263" w:rsidP="00F7335A">
      <w:pPr>
        <w:spacing w:after="0" w:line="240" w:lineRule="auto"/>
        <w:rPr>
          <w:b/>
        </w:rPr>
      </w:pPr>
    </w:p>
    <w:sectPr w:rsidR="00331263" w:rsidRPr="00633655" w:rsidSect="00D8025D">
      <w:headerReference w:type="default" r:id="rId9"/>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C0" w:rsidRDefault="00EC65C0" w:rsidP="00C00502">
      <w:pPr>
        <w:spacing w:after="0" w:line="240" w:lineRule="auto"/>
      </w:pPr>
      <w:r>
        <w:separator/>
      </w:r>
    </w:p>
  </w:endnote>
  <w:endnote w:type="continuationSeparator" w:id="0">
    <w:p w:rsidR="00EC65C0" w:rsidRDefault="00EC65C0" w:rsidP="00C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C0" w:rsidRDefault="00EC65C0" w:rsidP="00C00502">
      <w:pPr>
        <w:spacing w:after="0" w:line="240" w:lineRule="auto"/>
      </w:pPr>
      <w:r>
        <w:separator/>
      </w:r>
    </w:p>
  </w:footnote>
  <w:footnote w:type="continuationSeparator" w:id="0">
    <w:p w:rsidR="00EC65C0" w:rsidRDefault="00EC65C0" w:rsidP="00C00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9A" w:rsidRDefault="007B779A" w:rsidP="00493E31">
    <w:pPr>
      <w:pStyle w:val="Kopfzeile"/>
      <w:tabs>
        <w:tab w:val="clear" w:pos="4536"/>
      </w:tabs>
    </w:pPr>
    <w:r>
      <w:t>Gefährdungsbeurteilung Physik</w:t>
    </w:r>
    <w:r>
      <w:tab/>
    </w:r>
    <w:r>
      <w:rPr>
        <w:noProof/>
      </w:rPr>
      <w:drawing>
        <wp:inline distT="0" distB="0" distL="0" distR="0">
          <wp:extent cx="1257300" cy="57975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9755"/>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CFC"/>
    <w:multiLevelType w:val="hybridMultilevel"/>
    <w:tmpl w:val="649E7B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84B1DF2"/>
    <w:multiLevelType w:val="hybridMultilevel"/>
    <w:tmpl w:val="2514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EA5A0D"/>
    <w:multiLevelType w:val="hybridMultilevel"/>
    <w:tmpl w:val="F73697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5A"/>
    <w:rsid w:val="000017C6"/>
    <w:rsid w:val="00030768"/>
    <w:rsid w:val="000307DF"/>
    <w:rsid w:val="00044DC4"/>
    <w:rsid w:val="00076842"/>
    <w:rsid w:val="00085247"/>
    <w:rsid w:val="000873A7"/>
    <w:rsid w:val="000A7D6C"/>
    <w:rsid w:val="000B4785"/>
    <w:rsid w:val="000B6B40"/>
    <w:rsid w:val="000D3826"/>
    <w:rsid w:val="000F0165"/>
    <w:rsid w:val="000F434C"/>
    <w:rsid w:val="00101882"/>
    <w:rsid w:val="00117E2D"/>
    <w:rsid w:val="001549DB"/>
    <w:rsid w:val="00163FCF"/>
    <w:rsid w:val="00166290"/>
    <w:rsid w:val="001B67B1"/>
    <w:rsid w:val="001B7141"/>
    <w:rsid w:val="001C6879"/>
    <w:rsid w:val="001C72C8"/>
    <w:rsid w:val="001D36E0"/>
    <w:rsid w:val="001F7600"/>
    <w:rsid w:val="00201DB3"/>
    <w:rsid w:val="00220B5F"/>
    <w:rsid w:val="002234DE"/>
    <w:rsid w:val="002865C7"/>
    <w:rsid w:val="002B2E41"/>
    <w:rsid w:val="002D1B07"/>
    <w:rsid w:val="002E0716"/>
    <w:rsid w:val="003208CC"/>
    <w:rsid w:val="00331263"/>
    <w:rsid w:val="00371B40"/>
    <w:rsid w:val="003736F8"/>
    <w:rsid w:val="00381976"/>
    <w:rsid w:val="003A702C"/>
    <w:rsid w:val="003D28C6"/>
    <w:rsid w:val="003F3096"/>
    <w:rsid w:val="0040186F"/>
    <w:rsid w:val="00413392"/>
    <w:rsid w:val="004546C9"/>
    <w:rsid w:val="00456368"/>
    <w:rsid w:val="00464B85"/>
    <w:rsid w:val="00472E27"/>
    <w:rsid w:val="004914DD"/>
    <w:rsid w:val="00493E31"/>
    <w:rsid w:val="00496D36"/>
    <w:rsid w:val="004E0660"/>
    <w:rsid w:val="004E0FDD"/>
    <w:rsid w:val="004F580B"/>
    <w:rsid w:val="00501972"/>
    <w:rsid w:val="00520EE0"/>
    <w:rsid w:val="0055021C"/>
    <w:rsid w:val="005549D5"/>
    <w:rsid w:val="00555DEF"/>
    <w:rsid w:val="005773F9"/>
    <w:rsid w:val="005C1660"/>
    <w:rsid w:val="005D182C"/>
    <w:rsid w:val="005D2581"/>
    <w:rsid w:val="005F3637"/>
    <w:rsid w:val="00617967"/>
    <w:rsid w:val="0062446B"/>
    <w:rsid w:val="00624D7A"/>
    <w:rsid w:val="00633655"/>
    <w:rsid w:val="00643E24"/>
    <w:rsid w:val="006442C3"/>
    <w:rsid w:val="00653B9E"/>
    <w:rsid w:val="0066409C"/>
    <w:rsid w:val="006E0775"/>
    <w:rsid w:val="006E07BD"/>
    <w:rsid w:val="006E20FE"/>
    <w:rsid w:val="006F6C1C"/>
    <w:rsid w:val="00735212"/>
    <w:rsid w:val="007415B6"/>
    <w:rsid w:val="00743F3D"/>
    <w:rsid w:val="00746D45"/>
    <w:rsid w:val="00750693"/>
    <w:rsid w:val="00752119"/>
    <w:rsid w:val="00762CFF"/>
    <w:rsid w:val="007738C7"/>
    <w:rsid w:val="00775BEE"/>
    <w:rsid w:val="00787C78"/>
    <w:rsid w:val="00790D58"/>
    <w:rsid w:val="007A09D5"/>
    <w:rsid w:val="007A2D0D"/>
    <w:rsid w:val="007A4D04"/>
    <w:rsid w:val="007B779A"/>
    <w:rsid w:val="007C328E"/>
    <w:rsid w:val="007D1D89"/>
    <w:rsid w:val="007E5FEE"/>
    <w:rsid w:val="007E79F1"/>
    <w:rsid w:val="007F3DD2"/>
    <w:rsid w:val="00805F94"/>
    <w:rsid w:val="00812FF0"/>
    <w:rsid w:val="008262FE"/>
    <w:rsid w:val="00833D6A"/>
    <w:rsid w:val="00843C1E"/>
    <w:rsid w:val="00851E4D"/>
    <w:rsid w:val="00881AB8"/>
    <w:rsid w:val="00896D23"/>
    <w:rsid w:val="008A220A"/>
    <w:rsid w:val="008C59DE"/>
    <w:rsid w:val="008C7436"/>
    <w:rsid w:val="008D609B"/>
    <w:rsid w:val="008F3EA4"/>
    <w:rsid w:val="008F7253"/>
    <w:rsid w:val="008F7E88"/>
    <w:rsid w:val="009067E6"/>
    <w:rsid w:val="009170D8"/>
    <w:rsid w:val="009246E2"/>
    <w:rsid w:val="00926E28"/>
    <w:rsid w:val="00927324"/>
    <w:rsid w:val="00937736"/>
    <w:rsid w:val="009547BD"/>
    <w:rsid w:val="009668CF"/>
    <w:rsid w:val="00970010"/>
    <w:rsid w:val="009712FA"/>
    <w:rsid w:val="009C6D81"/>
    <w:rsid w:val="009D02A2"/>
    <w:rsid w:val="00A05F86"/>
    <w:rsid w:val="00A113E6"/>
    <w:rsid w:val="00A2556B"/>
    <w:rsid w:val="00A62C47"/>
    <w:rsid w:val="00A675A5"/>
    <w:rsid w:val="00A93ECC"/>
    <w:rsid w:val="00AB1571"/>
    <w:rsid w:val="00AC3FEB"/>
    <w:rsid w:val="00B14E85"/>
    <w:rsid w:val="00B22B7B"/>
    <w:rsid w:val="00B303D2"/>
    <w:rsid w:val="00B41A45"/>
    <w:rsid w:val="00B775DD"/>
    <w:rsid w:val="00B84BE0"/>
    <w:rsid w:val="00BA0F5E"/>
    <w:rsid w:val="00BA32C0"/>
    <w:rsid w:val="00BA3AAA"/>
    <w:rsid w:val="00BB3F7A"/>
    <w:rsid w:val="00BC6D31"/>
    <w:rsid w:val="00C00502"/>
    <w:rsid w:val="00C0191A"/>
    <w:rsid w:val="00C163AF"/>
    <w:rsid w:val="00C31D67"/>
    <w:rsid w:val="00C7642E"/>
    <w:rsid w:val="00C76C9E"/>
    <w:rsid w:val="00C8478F"/>
    <w:rsid w:val="00C92C8F"/>
    <w:rsid w:val="00CB3127"/>
    <w:rsid w:val="00CB3C45"/>
    <w:rsid w:val="00CC73B5"/>
    <w:rsid w:val="00CC787F"/>
    <w:rsid w:val="00D143F0"/>
    <w:rsid w:val="00D53F75"/>
    <w:rsid w:val="00D8025D"/>
    <w:rsid w:val="00D822D3"/>
    <w:rsid w:val="00D862F4"/>
    <w:rsid w:val="00D97501"/>
    <w:rsid w:val="00DA5F90"/>
    <w:rsid w:val="00DC5838"/>
    <w:rsid w:val="00E2456C"/>
    <w:rsid w:val="00E441DC"/>
    <w:rsid w:val="00E522C5"/>
    <w:rsid w:val="00E75C10"/>
    <w:rsid w:val="00EC65C0"/>
    <w:rsid w:val="00EE09C2"/>
    <w:rsid w:val="00EE74C5"/>
    <w:rsid w:val="00EF198A"/>
    <w:rsid w:val="00EF3602"/>
    <w:rsid w:val="00F23079"/>
    <w:rsid w:val="00F23244"/>
    <w:rsid w:val="00F257F0"/>
    <w:rsid w:val="00F52653"/>
    <w:rsid w:val="00F63D0A"/>
    <w:rsid w:val="00F707F5"/>
    <w:rsid w:val="00F7335A"/>
    <w:rsid w:val="00F84373"/>
    <w:rsid w:val="00F97927"/>
    <w:rsid w:val="00FA299D"/>
    <w:rsid w:val="00FB2632"/>
    <w:rsid w:val="00FB269A"/>
    <w:rsid w:val="00FC3A80"/>
    <w:rsid w:val="00FE1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ABFD3-ED85-48BA-8E19-31191684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 w:type="character" w:styleId="Platzhaltertext">
    <w:name w:val="Placeholder Text"/>
    <w:basedOn w:val="Absatz-Standardschriftart"/>
    <w:uiPriority w:val="99"/>
    <w:semiHidden/>
    <w:rsid w:val="00C92C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Buchhold</dc:creator>
  <cp:lastModifiedBy>Katharina Franke</cp:lastModifiedBy>
  <cp:revision>6</cp:revision>
  <cp:lastPrinted>2018-02-06T18:26:00Z</cp:lastPrinted>
  <dcterms:created xsi:type="dcterms:W3CDTF">2018-04-27T08:56:00Z</dcterms:created>
  <dcterms:modified xsi:type="dcterms:W3CDTF">2019-02-13T11:37:00Z</dcterms:modified>
</cp:coreProperties>
</file>